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2E" w:rsidRDefault="00E8122E" w:rsidP="00E23866">
      <w:pPr>
        <w:widowControl w:val="0"/>
        <w:tabs>
          <w:tab w:val="left" w:pos="2268"/>
        </w:tabs>
        <w:ind w:left="2268" w:hanging="2268"/>
        <w:jc w:val="right"/>
        <w:rPr>
          <w:rFonts w:asciiTheme="minorHAnsi" w:eastAsia="Times New Roman" w:hAnsiTheme="minorHAnsi" w:cs="Arial"/>
          <w:lang w:val="es-ES_tradnl" w:eastAsia="es-ES"/>
        </w:rPr>
      </w:pPr>
    </w:p>
    <w:p w:rsidR="00E23866" w:rsidRPr="00AC4343" w:rsidRDefault="00E23866" w:rsidP="00E23866">
      <w:pPr>
        <w:widowControl w:val="0"/>
        <w:tabs>
          <w:tab w:val="left" w:pos="2268"/>
        </w:tabs>
        <w:ind w:left="2268" w:hanging="2268"/>
        <w:jc w:val="right"/>
        <w:rPr>
          <w:rFonts w:asciiTheme="minorHAnsi" w:eastAsia="Times New Roman" w:hAnsiTheme="minorHAnsi" w:cs="Arial"/>
          <w:lang w:val="es-ES_tradnl" w:eastAsia="es-ES"/>
        </w:rPr>
      </w:pPr>
      <w:r>
        <w:rPr>
          <w:rFonts w:asciiTheme="minorHAnsi" w:eastAsia="Times New Roman" w:hAnsiTheme="minorHAnsi" w:cs="Arial"/>
          <w:lang w:val="es-ES_tradnl" w:eastAsia="es-ES"/>
        </w:rPr>
        <w:t xml:space="preserve">Madrid, </w:t>
      </w:r>
      <w:r w:rsidR="00D5098C">
        <w:rPr>
          <w:rFonts w:asciiTheme="minorHAnsi" w:eastAsia="Times New Roman" w:hAnsiTheme="minorHAnsi" w:cs="Arial"/>
          <w:lang w:val="es-ES_tradnl" w:eastAsia="es-ES"/>
        </w:rPr>
        <w:t>2</w:t>
      </w:r>
      <w:r w:rsidR="00A15DBC">
        <w:rPr>
          <w:rFonts w:asciiTheme="minorHAnsi" w:eastAsia="Times New Roman" w:hAnsiTheme="minorHAnsi" w:cs="Arial"/>
          <w:lang w:val="es-ES_tradnl" w:eastAsia="es-ES"/>
        </w:rPr>
        <w:t>5 de junio</w:t>
      </w:r>
      <w:r w:rsidR="00C56D6A">
        <w:rPr>
          <w:rFonts w:asciiTheme="minorHAnsi" w:eastAsia="Times New Roman" w:hAnsiTheme="minorHAnsi" w:cs="Arial"/>
          <w:lang w:val="es-ES_tradnl" w:eastAsia="es-ES"/>
        </w:rPr>
        <w:t xml:space="preserve"> </w:t>
      </w:r>
      <w:r w:rsidRPr="00AC4343">
        <w:rPr>
          <w:rFonts w:asciiTheme="minorHAnsi" w:eastAsia="Times New Roman" w:hAnsiTheme="minorHAnsi" w:cs="Arial"/>
          <w:lang w:val="es-ES_tradnl" w:eastAsia="es-ES"/>
        </w:rPr>
        <w:t>de 202</w:t>
      </w:r>
      <w:r>
        <w:rPr>
          <w:rFonts w:asciiTheme="minorHAnsi" w:eastAsia="Times New Roman" w:hAnsiTheme="minorHAnsi" w:cs="Arial"/>
          <w:lang w:val="es-ES_tradnl" w:eastAsia="es-ES"/>
        </w:rPr>
        <w:t>4</w:t>
      </w:r>
    </w:p>
    <w:p w:rsidR="00E23866" w:rsidRDefault="00E23866" w:rsidP="00E23866">
      <w:pPr>
        <w:jc w:val="both"/>
        <w:rPr>
          <w:rFonts w:asciiTheme="minorHAnsi" w:eastAsia="Times New Roman" w:hAnsiTheme="minorHAnsi" w:cs="Arial"/>
          <w:b/>
          <w:lang w:val="es-ES_tradnl" w:eastAsia="es-ES"/>
        </w:rPr>
      </w:pPr>
    </w:p>
    <w:p w:rsidR="008F640C" w:rsidRPr="00AC4343" w:rsidRDefault="008F640C" w:rsidP="00E23866">
      <w:pPr>
        <w:jc w:val="both"/>
        <w:rPr>
          <w:rFonts w:asciiTheme="minorHAnsi" w:eastAsia="Times New Roman" w:hAnsiTheme="minorHAnsi" w:cs="Arial"/>
          <w:b/>
          <w:lang w:val="es-ES_tradnl" w:eastAsia="es-ES"/>
        </w:rPr>
      </w:pPr>
    </w:p>
    <w:p w:rsidR="00E8122E" w:rsidRPr="00AC4343" w:rsidRDefault="00E8122E" w:rsidP="00E23866">
      <w:pPr>
        <w:jc w:val="both"/>
        <w:rPr>
          <w:rFonts w:asciiTheme="minorHAnsi" w:eastAsia="Times New Roman" w:hAnsiTheme="minorHAnsi" w:cs="Arial"/>
          <w:b/>
          <w:lang w:val="es-ES_tradnl" w:eastAsia="es-ES"/>
        </w:rPr>
      </w:pPr>
    </w:p>
    <w:p w:rsidR="00E23866" w:rsidRPr="00AC4343" w:rsidRDefault="00E23866" w:rsidP="00E23866">
      <w:pPr>
        <w:jc w:val="both"/>
        <w:rPr>
          <w:rFonts w:asciiTheme="minorHAnsi" w:eastAsia="Times New Roman" w:hAnsiTheme="minorHAnsi" w:cs="Arial"/>
          <w:b/>
          <w:u w:val="single"/>
          <w:lang w:eastAsia="es-ES"/>
        </w:rPr>
      </w:pPr>
      <w:r w:rsidRPr="00AC4343">
        <w:rPr>
          <w:rFonts w:asciiTheme="minorHAnsi" w:eastAsia="Times New Roman" w:hAnsiTheme="minorHAnsi" w:cs="Arial"/>
          <w:b/>
          <w:lang w:val="es-ES_tradnl" w:eastAsia="es-ES"/>
        </w:rPr>
        <w:t>ASUNTO:</w:t>
      </w:r>
      <w:r w:rsidRPr="00AC4343">
        <w:rPr>
          <w:rFonts w:asciiTheme="minorHAnsi" w:eastAsia="Times New Roman" w:hAnsiTheme="minorHAnsi" w:cs="Arial"/>
          <w:b/>
          <w:lang w:val="es-ES_tradnl" w:eastAsia="es-ES"/>
        </w:rPr>
        <w:tab/>
      </w:r>
      <w:r w:rsidRPr="00AC4343">
        <w:rPr>
          <w:rFonts w:asciiTheme="minorHAnsi" w:eastAsia="Times New Roman" w:hAnsiTheme="minorHAnsi" w:cs="Arial"/>
          <w:lang w:eastAsia="es-ES"/>
        </w:rPr>
        <w:t xml:space="preserve">Suplemento del Nomenclátor oficial de la prestación farmacéutica del Sistema Nacional de Salud </w:t>
      </w:r>
      <w:r w:rsidR="00BB2F04">
        <w:rPr>
          <w:rFonts w:asciiTheme="minorHAnsi" w:eastAsia="Times New Roman" w:hAnsiTheme="minorHAnsi" w:cs="Arial"/>
          <w:b/>
          <w:lang w:eastAsia="es-ES"/>
        </w:rPr>
        <w:t>JU</w:t>
      </w:r>
      <w:r w:rsidR="00480B66">
        <w:rPr>
          <w:rFonts w:asciiTheme="minorHAnsi" w:eastAsia="Times New Roman" w:hAnsiTheme="minorHAnsi" w:cs="Arial"/>
          <w:b/>
          <w:lang w:eastAsia="es-ES"/>
        </w:rPr>
        <w:t>L</w:t>
      </w:r>
      <w:r w:rsidR="00BB2F04">
        <w:rPr>
          <w:rFonts w:asciiTheme="minorHAnsi" w:eastAsia="Times New Roman" w:hAnsiTheme="minorHAnsi" w:cs="Arial"/>
          <w:b/>
          <w:lang w:eastAsia="es-ES"/>
        </w:rPr>
        <w:t>IO</w:t>
      </w:r>
      <w:r>
        <w:rPr>
          <w:rFonts w:asciiTheme="minorHAnsi" w:eastAsia="Times New Roman" w:hAnsiTheme="minorHAnsi" w:cs="Arial"/>
          <w:b/>
          <w:lang w:eastAsia="es-ES"/>
        </w:rPr>
        <w:t xml:space="preserve"> 2024</w:t>
      </w:r>
      <w:r w:rsidRPr="00AC4343">
        <w:rPr>
          <w:rFonts w:asciiTheme="minorHAnsi" w:eastAsia="Times New Roman" w:hAnsiTheme="minorHAnsi" w:cs="Arial"/>
          <w:lang w:eastAsia="es-ES"/>
        </w:rPr>
        <w:t>.</w:t>
      </w:r>
    </w:p>
    <w:p w:rsidR="00E23866" w:rsidRDefault="00E23866" w:rsidP="00E23866">
      <w:pPr>
        <w:jc w:val="both"/>
        <w:rPr>
          <w:rFonts w:asciiTheme="minorHAnsi" w:eastAsia="Times New Roman" w:hAnsiTheme="minorHAnsi" w:cs="Arial"/>
          <w:lang w:eastAsia="es-ES"/>
        </w:rPr>
      </w:pPr>
    </w:p>
    <w:p w:rsidR="008F640C" w:rsidRPr="00AC4343" w:rsidRDefault="008F640C" w:rsidP="00E23866">
      <w:pPr>
        <w:jc w:val="both"/>
        <w:rPr>
          <w:rFonts w:asciiTheme="minorHAnsi" w:eastAsia="Times New Roman" w:hAnsiTheme="minorHAnsi" w:cs="Arial"/>
          <w:lang w:eastAsia="es-ES"/>
        </w:rPr>
      </w:pPr>
    </w:p>
    <w:p w:rsidR="00E23866" w:rsidRDefault="00E23866" w:rsidP="00E23866">
      <w:pPr>
        <w:jc w:val="both"/>
        <w:rPr>
          <w:rFonts w:asciiTheme="minorHAnsi" w:eastAsia="Times New Roman" w:hAnsiTheme="minorHAnsi" w:cs="Arial"/>
          <w:lang w:eastAsia="es-ES"/>
        </w:rPr>
      </w:pPr>
      <w:r w:rsidRPr="00AC4343">
        <w:rPr>
          <w:rFonts w:asciiTheme="minorHAnsi" w:eastAsia="Times New Roman" w:hAnsiTheme="minorHAnsi" w:cs="Arial"/>
          <w:lang w:eastAsia="es-ES"/>
        </w:rPr>
        <w:t xml:space="preserve">En el archivo Excel adjunto que se remite con este escrito “Oferta Medicamentos-NM </w:t>
      </w:r>
      <w:r w:rsidR="00BB2F04">
        <w:rPr>
          <w:rFonts w:asciiTheme="minorHAnsi" w:eastAsia="Times New Roman" w:hAnsiTheme="minorHAnsi" w:cs="Arial"/>
          <w:lang w:eastAsia="es-ES"/>
        </w:rPr>
        <w:t>ju</w:t>
      </w:r>
      <w:r w:rsidR="00480B66">
        <w:rPr>
          <w:rFonts w:asciiTheme="minorHAnsi" w:eastAsia="Times New Roman" w:hAnsiTheme="minorHAnsi" w:cs="Arial"/>
          <w:lang w:eastAsia="es-ES"/>
        </w:rPr>
        <w:t>l</w:t>
      </w:r>
      <w:r w:rsidR="00BB2F04">
        <w:rPr>
          <w:rFonts w:asciiTheme="minorHAnsi" w:eastAsia="Times New Roman" w:hAnsiTheme="minorHAnsi" w:cs="Arial"/>
          <w:lang w:eastAsia="es-ES"/>
        </w:rPr>
        <w:t>io</w:t>
      </w:r>
      <w:r>
        <w:rPr>
          <w:rFonts w:asciiTheme="minorHAnsi" w:eastAsia="Times New Roman" w:hAnsiTheme="minorHAnsi" w:cs="Arial"/>
          <w:lang w:eastAsia="es-ES"/>
        </w:rPr>
        <w:t xml:space="preserve"> 2024</w:t>
      </w:r>
      <w:r w:rsidRPr="00AC4343">
        <w:rPr>
          <w:rFonts w:asciiTheme="minorHAnsi" w:eastAsia="Times New Roman" w:hAnsiTheme="minorHAnsi" w:cs="Arial"/>
          <w:lang w:eastAsia="es-ES"/>
        </w:rPr>
        <w:t xml:space="preserve">”, se facilita la información detallada de inclusiones de medicamentos en la financiación, no inclusiones, anulaciones y diferentes causas de modificación de financiación recogidas en el Nomenclátor oficial de la prestación farmacéutica del SNS, del mes de </w:t>
      </w:r>
      <w:r w:rsidR="00BB2F04">
        <w:rPr>
          <w:rFonts w:asciiTheme="minorHAnsi" w:eastAsia="Times New Roman" w:hAnsiTheme="minorHAnsi" w:cs="Arial"/>
          <w:lang w:eastAsia="es-ES"/>
        </w:rPr>
        <w:t>ju</w:t>
      </w:r>
      <w:r w:rsidR="00480B66">
        <w:rPr>
          <w:rFonts w:asciiTheme="minorHAnsi" w:eastAsia="Times New Roman" w:hAnsiTheme="minorHAnsi" w:cs="Arial"/>
          <w:lang w:eastAsia="es-ES"/>
        </w:rPr>
        <w:t>l</w:t>
      </w:r>
      <w:r w:rsidR="00BB2F04">
        <w:rPr>
          <w:rFonts w:asciiTheme="minorHAnsi" w:eastAsia="Times New Roman" w:hAnsiTheme="minorHAnsi" w:cs="Arial"/>
          <w:lang w:eastAsia="es-ES"/>
        </w:rPr>
        <w:t>io</w:t>
      </w:r>
      <w:r w:rsidRPr="00AC4343">
        <w:rPr>
          <w:rFonts w:asciiTheme="minorHAnsi" w:eastAsia="Times New Roman" w:hAnsiTheme="minorHAnsi" w:cs="Arial"/>
          <w:lang w:eastAsia="es-ES"/>
        </w:rPr>
        <w:t xml:space="preserve"> 202</w:t>
      </w:r>
      <w:r>
        <w:rPr>
          <w:rFonts w:asciiTheme="minorHAnsi" w:eastAsia="Times New Roman" w:hAnsiTheme="minorHAnsi" w:cs="Arial"/>
          <w:lang w:eastAsia="es-ES"/>
        </w:rPr>
        <w:t>4</w:t>
      </w:r>
      <w:r w:rsidRPr="00AC4343">
        <w:rPr>
          <w:rFonts w:asciiTheme="minorHAnsi" w:eastAsia="Times New Roman" w:hAnsiTheme="minorHAnsi" w:cs="Arial"/>
          <w:lang w:val="es-ES_tradnl" w:eastAsia="es-ES"/>
        </w:rPr>
        <w:t xml:space="preserve"> (independientemente de su comercialización).</w:t>
      </w:r>
      <w:r w:rsidRPr="00AC4343">
        <w:rPr>
          <w:rFonts w:asciiTheme="minorHAnsi" w:eastAsia="Times New Roman" w:hAnsiTheme="minorHAnsi" w:cs="Arial"/>
          <w:lang w:eastAsia="es-ES"/>
        </w:rPr>
        <w:t xml:space="preserve"> </w:t>
      </w:r>
    </w:p>
    <w:p w:rsidR="006A06FE" w:rsidRDefault="006A06FE" w:rsidP="00E23866">
      <w:pPr>
        <w:jc w:val="both"/>
        <w:rPr>
          <w:rFonts w:asciiTheme="minorHAnsi" w:eastAsia="Times New Roman" w:hAnsiTheme="minorHAnsi" w:cs="Arial"/>
          <w:lang w:eastAsia="es-ES"/>
        </w:rPr>
      </w:pPr>
    </w:p>
    <w:p w:rsidR="006A06FE" w:rsidRPr="00D0123A" w:rsidRDefault="006A06FE" w:rsidP="006A06FE">
      <w:pPr>
        <w:pStyle w:val="Prrafodelista"/>
        <w:numPr>
          <w:ilvl w:val="0"/>
          <w:numId w:val="6"/>
        </w:numPr>
        <w:jc w:val="both"/>
        <w:rPr>
          <w:rFonts w:asciiTheme="minorHAnsi" w:eastAsia="Times New Roman" w:hAnsiTheme="minorHAnsi" w:cs="Arial"/>
          <w:lang w:eastAsia="es-ES"/>
        </w:rPr>
      </w:pPr>
      <w:r w:rsidRPr="00D0123A">
        <w:rPr>
          <w:rFonts w:asciiTheme="minorHAnsi" w:hAnsiTheme="minorHAnsi" w:cs="Arial"/>
          <w:b/>
        </w:rPr>
        <w:t xml:space="preserve">Este nomenclátor incluye la </w:t>
      </w:r>
      <w:r w:rsidRPr="00D0123A">
        <w:rPr>
          <w:rFonts w:asciiTheme="minorHAnsi" w:hAnsiTheme="minorHAnsi" w:cs="Arial"/>
          <w:b/>
          <w:u w:val="single"/>
        </w:rPr>
        <w:t>actualización de los precios menores de las agrupaciones homogéneas de medicamentos</w:t>
      </w:r>
      <w:r w:rsidRPr="00D0123A">
        <w:rPr>
          <w:rFonts w:asciiTheme="minorHAnsi" w:hAnsiTheme="minorHAnsi" w:cs="Arial"/>
          <w:b/>
        </w:rPr>
        <w:t xml:space="preserve">, </w:t>
      </w:r>
      <w:r w:rsidRPr="00D0123A">
        <w:rPr>
          <w:rFonts w:asciiTheme="minorHAnsi" w:hAnsiTheme="minorHAnsi" w:cs="Arial"/>
        </w:rPr>
        <w:t xml:space="preserve">de acuerdo con lo establecido en Real Decreto Legislativo 1/2015, de 24 de julio, que aprueba el texto refundido de la Ley de garantías y uso racional de los medicamentos y productos sanitarios, aplicable desde el </w:t>
      </w:r>
      <w:r w:rsidRPr="00D0123A">
        <w:rPr>
          <w:rFonts w:asciiTheme="minorHAnsi" w:hAnsiTheme="minorHAnsi" w:cs="Arial"/>
          <w:b/>
          <w:bCs/>
          <w:u w:val="single"/>
        </w:rPr>
        <w:t>1 de julio de 2024</w:t>
      </w:r>
    </w:p>
    <w:p w:rsidR="003D4E9E" w:rsidRDefault="003D4E9E" w:rsidP="00E23866">
      <w:pPr>
        <w:jc w:val="both"/>
        <w:rPr>
          <w:rFonts w:asciiTheme="minorHAnsi" w:eastAsia="Times New Roman" w:hAnsiTheme="minorHAnsi" w:cs="Arial"/>
          <w:lang w:eastAsia="es-ES"/>
        </w:rPr>
      </w:pPr>
    </w:p>
    <w:p w:rsidR="00E23866" w:rsidRPr="00AC4343" w:rsidRDefault="00E23866" w:rsidP="00E23866">
      <w:pPr>
        <w:jc w:val="both"/>
        <w:rPr>
          <w:rFonts w:asciiTheme="minorHAnsi" w:eastAsia="Times New Roman" w:hAnsiTheme="minorHAnsi" w:cs="Arial"/>
          <w:lang w:eastAsia="es-ES"/>
        </w:rPr>
      </w:pPr>
      <w:r w:rsidRPr="00AC4343">
        <w:rPr>
          <w:rFonts w:asciiTheme="minorHAnsi" w:eastAsia="Times New Roman" w:hAnsiTheme="minorHAnsi" w:cs="Arial"/>
          <w:lang w:eastAsia="es-ES"/>
        </w:rPr>
        <w:t>En este escrito diferenciamos la información en los siguientes apartados con el fin de facilitar un mejor análisis y gestión, y se destacan determinados medicamentos y productos sanitarios por sus características y condiciones especiales de financiación:</w:t>
      </w:r>
    </w:p>
    <w:p w:rsidR="00E23866" w:rsidRDefault="00E23866" w:rsidP="00E23866">
      <w:pPr>
        <w:jc w:val="both"/>
        <w:rPr>
          <w:rFonts w:asciiTheme="minorHAnsi" w:hAnsiTheme="minorHAnsi" w:cs="Arial"/>
        </w:rPr>
      </w:pPr>
    </w:p>
    <w:p w:rsidR="00E23866" w:rsidRPr="00AC4343" w:rsidRDefault="00E23866" w:rsidP="00F065CF">
      <w:pPr>
        <w:numPr>
          <w:ilvl w:val="0"/>
          <w:numId w:val="4"/>
        </w:numPr>
        <w:jc w:val="both"/>
        <w:rPr>
          <w:rFonts w:eastAsia="Times New Roman" w:cs="Arial"/>
          <w:b/>
          <w:u w:val="single"/>
          <w:lang w:eastAsia="es-ES"/>
        </w:rPr>
      </w:pPr>
      <w:r w:rsidRPr="00AC4343">
        <w:rPr>
          <w:rFonts w:eastAsia="Times New Roman" w:cs="Arial"/>
          <w:b/>
          <w:u w:val="single"/>
          <w:lang w:eastAsia="es-ES"/>
        </w:rPr>
        <w:t>MEDICAMENTOS QUE SE EXCLUYEN:</w:t>
      </w:r>
    </w:p>
    <w:p w:rsidR="00AC303A" w:rsidRPr="00AC303A" w:rsidRDefault="00AC303A" w:rsidP="00AC303A">
      <w:pPr>
        <w:ind w:left="360"/>
        <w:jc w:val="both"/>
        <w:rPr>
          <w:rFonts w:cs="Calibri"/>
          <w:color w:val="FF0000"/>
        </w:rPr>
      </w:pPr>
    </w:p>
    <w:p w:rsidR="002E0419" w:rsidRPr="002E0419" w:rsidRDefault="002E0419" w:rsidP="002E0419">
      <w:pPr>
        <w:ind w:left="426"/>
        <w:jc w:val="both"/>
        <w:rPr>
          <w:rFonts w:cs="Calibri"/>
        </w:rPr>
      </w:pPr>
      <w:r w:rsidRPr="002E0419">
        <w:rPr>
          <w:rFonts w:eastAsia="Times New Roman" w:cs="Calibri"/>
          <w:lang w:eastAsia="es-ES"/>
        </w:rPr>
        <w:t xml:space="preserve">El </w:t>
      </w:r>
      <w:r w:rsidRPr="002E0419">
        <w:rPr>
          <w:rFonts w:cs="Calibri"/>
        </w:rPr>
        <w:t>medicamento que a continuación se indica pasa a la situación de BAJA EXCLUSIÓN FINANCIACIÓN INDIVIDUALIZADA al haber sido excluido de la financiación por resolución de marzo 2024 de la Dirección General de Cartera Común de Servicios del SNS y Farmacia. En el mes de noviembre de 2024 dejará de ser facturable.</w:t>
      </w:r>
    </w:p>
    <w:p w:rsidR="002E0419" w:rsidRPr="002E0419" w:rsidRDefault="002E0419" w:rsidP="002E0419">
      <w:pPr>
        <w:ind w:left="709"/>
        <w:jc w:val="both"/>
        <w:rPr>
          <w:rFonts w:cs="Calibri"/>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6804"/>
      </w:tblGrid>
      <w:tr w:rsidR="002E0419" w:rsidRPr="002E0419" w:rsidTr="00090E82">
        <w:trPr>
          <w:trHeight w:val="222"/>
        </w:trPr>
        <w:tc>
          <w:tcPr>
            <w:tcW w:w="1559" w:type="dxa"/>
            <w:shd w:val="clear" w:color="auto" w:fill="BFBFBF" w:themeFill="background1" w:themeFillShade="BF"/>
            <w:vAlign w:val="bottom"/>
            <w:hideMark/>
          </w:tcPr>
          <w:p w:rsidR="002E0419" w:rsidRPr="002E0419" w:rsidRDefault="002E0419" w:rsidP="00090E82">
            <w:pPr>
              <w:jc w:val="center"/>
              <w:rPr>
                <w:rFonts w:asciiTheme="minorHAnsi" w:eastAsia="Times New Roman" w:hAnsiTheme="minorHAnsi" w:cstheme="minorHAnsi"/>
                <w:b/>
                <w:bCs/>
                <w:sz w:val="20"/>
                <w:szCs w:val="20"/>
                <w:lang w:eastAsia="es-ES"/>
              </w:rPr>
            </w:pPr>
            <w:r w:rsidRPr="002E0419">
              <w:rPr>
                <w:rFonts w:asciiTheme="minorHAnsi" w:eastAsia="Times New Roman" w:hAnsiTheme="minorHAnsi" w:cstheme="minorHAnsi"/>
                <w:b/>
                <w:bCs/>
                <w:sz w:val="20"/>
                <w:szCs w:val="20"/>
                <w:lang w:eastAsia="es-ES"/>
              </w:rPr>
              <w:t>CN</w:t>
            </w:r>
          </w:p>
        </w:tc>
        <w:tc>
          <w:tcPr>
            <w:tcW w:w="6804" w:type="dxa"/>
            <w:shd w:val="clear" w:color="auto" w:fill="BFBFBF" w:themeFill="background1" w:themeFillShade="BF"/>
            <w:vAlign w:val="bottom"/>
            <w:hideMark/>
          </w:tcPr>
          <w:p w:rsidR="002E0419" w:rsidRPr="002E0419" w:rsidRDefault="002E0419" w:rsidP="00090E82">
            <w:pPr>
              <w:jc w:val="center"/>
              <w:rPr>
                <w:rFonts w:asciiTheme="minorHAnsi" w:eastAsia="Times New Roman" w:hAnsiTheme="minorHAnsi" w:cstheme="minorHAnsi"/>
                <w:b/>
                <w:bCs/>
                <w:sz w:val="20"/>
                <w:szCs w:val="20"/>
                <w:lang w:eastAsia="es-ES"/>
              </w:rPr>
            </w:pPr>
            <w:r w:rsidRPr="002E0419">
              <w:rPr>
                <w:rFonts w:asciiTheme="minorHAnsi" w:eastAsia="Times New Roman" w:hAnsiTheme="minorHAnsi" w:cstheme="minorHAnsi"/>
                <w:b/>
                <w:bCs/>
                <w:sz w:val="20"/>
                <w:szCs w:val="20"/>
                <w:lang w:eastAsia="es-ES"/>
              </w:rPr>
              <w:t xml:space="preserve">NOMBRE </w:t>
            </w:r>
          </w:p>
        </w:tc>
      </w:tr>
      <w:tr w:rsidR="002E0419" w:rsidRPr="002E0419" w:rsidTr="00090E82">
        <w:trPr>
          <w:trHeight w:val="268"/>
        </w:trPr>
        <w:tc>
          <w:tcPr>
            <w:tcW w:w="1559" w:type="dxa"/>
            <w:shd w:val="clear" w:color="000000" w:fill="FFFFFF"/>
            <w:noWrap/>
            <w:vAlign w:val="center"/>
          </w:tcPr>
          <w:p w:rsidR="002E0419" w:rsidRPr="002E0419" w:rsidRDefault="002E0419" w:rsidP="00090E82">
            <w:pPr>
              <w:jc w:val="center"/>
              <w:rPr>
                <w:rFonts w:asciiTheme="minorHAnsi" w:eastAsia="Times New Roman" w:hAnsiTheme="minorHAnsi" w:cstheme="minorHAnsi"/>
                <w:sz w:val="20"/>
                <w:szCs w:val="20"/>
                <w:lang w:eastAsia="es-ES"/>
              </w:rPr>
            </w:pPr>
            <w:r w:rsidRPr="002E0419">
              <w:rPr>
                <w:rFonts w:asciiTheme="minorHAnsi" w:eastAsia="Times New Roman" w:hAnsiTheme="minorHAnsi" w:cstheme="minorHAnsi"/>
                <w:sz w:val="20"/>
                <w:szCs w:val="20"/>
                <w:lang w:eastAsia="es-ES"/>
              </w:rPr>
              <w:t>660477</w:t>
            </w:r>
          </w:p>
        </w:tc>
        <w:tc>
          <w:tcPr>
            <w:tcW w:w="6804" w:type="dxa"/>
            <w:shd w:val="clear" w:color="000000" w:fill="FFFFFF"/>
            <w:vAlign w:val="center"/>
          </w:tcPr>
          <w:p w:rsidR="002E0419" w:rsidRPr="002E0419" w:rsidRDefault="002E0419" w:rsidP="00090E82">
            <w:pPr>
              <w:rPr>
                <w:rFonts w:asciiTheme="minorHAnsi" w:eastAsia="Times New Roman" w:hAnsiTheme="minorHAnsi" w:cstheme="minorHAnsi"/>
                <w:sz w:val="20"/>
                <w:szCs w:val="20"/>
                <w:lang w:eastAsia="es-ES"/>
              </w:rPr>
            </w:pPr>
            <w:r w:rsidRPr="002E0419">
              <w:rPr>
                <w:rFonts w:asciiTheme="minorHAnsi" w:eastAsia="Times New Roman" w:hAnsiTheme="minorHAnsi" w:cstheme="minorHAnsi"/>
                <w:sz w:val="20"/>
                <w:szCs w:val="20"/>
                <w:lang w:eastAsia="es-ES"/>
              </w:rPr>
              <w:t>IBUPROFENO (ARGININA) KERN PHARMA 600 mg GRANULADO PARA SOLUCION ORAL EFG, 40 sobres</w:t>
            </w:r>
          </w:p>
        </w:tc>
      </w:tr>
    </w:tbl>
    <w:p w:rsidR="00DB56E2" w:rsidRDefault="00DB56E2" w:rsidP="00DB56E2">
      <w:pPr>
        <w:ind w:left="851"/>
        <w:jc w:val="both"/>
        <w:rPr>
          <w:rFonts w:cs="Calibri"/>
        </w:rPr>
      </w:pPr>
    </w:p>
    <w:p w:rsidR="00DB56E2" w:rsidRPr="00DB56E2" w:rsidRDefault="00DB56E2" w:rsidP="00DB56E2">
      <w:pPr>
        <w:numPr>
          <w:ilvl w:val="0"/>
          <w:numId w:val="34"/>
        </w:numPr>
        <w:ind w:left="851"/>
        <w:jc w:val="both"/>
        <w:rPr>
          <w:rFonts w:eastAsia="Times New Roman" w:cs="Calibri"/>
          <w:b/>
          <w:u w:val="single"/>
          <w:lang w:eastAsia="es-ES"/>
        </w:rPr>
      </w:pPr>
      <w:r w:rsidRPr="00DB56E2">
        <w:rPr>
          <w:rFonts w:eastAsia="Times New Roman" w:cs="Calibri"/>
          <w:b/>
          <w:u w:val="single"/>
          <w:lang w:eastAsia="es-ES"/>
        </w:rPr>
        <w:t>AVANCE INFORMACIÓN MEDICAMENTOS EXCLUIDOS:</w:t>
      </w:r>
    </w:p>
    <w:p w:rsidR="00DB56E2" w:rsidRPr="00DB56E2" w:rsidRDefault="00DB56E2" w:rsidP="00DB56E2">
      <w:pPr>
        <w:ind w:left="360"/>
        <w:jc w:val="both"/>
        <w:rPr>
          <w:rFonts w:eastAsia="Times New Roman" w:cs="Calibri"/>
          <w:b/>
          <w:u w:val="single"/>
          <w:lang w:eastAsia="es-ES"/>
        </w:rPr>
      </w:pPr>
    </w:p>
    <w:p w:rsidR="00DB56E2" w:rsidRDefault="00DB56E2" w:rsidP="00DB56E2">
      <w:pPr>
        <w:ind w:left="426"/>
        <w:jc w:val="both"/>
        <w:rPr>
          <w:rFonts w:cs="Calibri"/>
        </w:rPr>
      </w:pPr>
      <w:r w:rsidRPr="00DB56E2">
        <w:rPr>
          <w:rFonts w:cs="Calibri"/>
        </w:rPr>
        <w:t xml:space="preserve">Por resolución de junio de 2024 de la Dirección General de Cartera Común de Servicios del Sistema Nacional de Salud y Farmacia se ha resuelto excluir de la prestación farmacéutica del Sistema Nacional de Salud los medicamentos que a continuación se indican estableciéndose que, de acuerdo con el artículo tercero de la Orden del Ministerio de Sanidad y Consumo, de 6 de abril de 1993, que desarrolla el Real Decreto 83/1993, de 22 de enero, por el que se regula la selección de los medicamentos a efectos de su financiación por el  Sistema Nacional de Salud; dicha exclusión producirá efectos a los tres meses de su notificación, contados a partir del día 1 del mes siguiente a la resolución, por lo que en el mes de octubre de 2024 pasarán a la situación de BAJA EXCLUSION FINANCIACIÓN INDIVIDUALIZADA. En el mes de febrero de 2025 dejarán de ser facturables aquellos que lo fueran. </w:t>
      </w:r>
    </w:p>
    <w:p w:rsidR="00DB56E2" w:rsidRPr="00DB56E2" w:rsidRDefault="00DB56E2" w:rsidP="00DB56E2">
      <w:pPr>
        <w:jc w:val="both"/>
        <w:rPr>
          <w:rFonts w:cs="Calibri"/>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6804"/>
      </w:tblGrid>
      <w:tr w:rsidR="00DB56E2" w:rsidRPr="00DB56E2" w:rsidTr="00DB56E2">
        <w:trPr>
          <w:trHeight w:val="284"/>
        </w:trPr>
        <w:tc>
          <w:tcPr>
            <w:tcW w:w="1559" w:type="dxa"/>
            <w:shd w:val="clear" w:color="auto" w:fill="BFBFBF" w:themeFill="background1" w:themeFillShade="BF"/>
            <w:vAlign w:val="bottom"/>
          </w:tcPr>
          <w:p w:rsidR="00DB56E2" w:rsidRPr="002E0419" w:rsidRDefault="00DB56E2" w:rsidP="00DB56E2">
            <w:pPr>
              <w:jc w:val="center"/>
              <w:rPr>
                <w:rFonts w:asciiTheme="minorHAnsi" w:eastAsia="Times New Roman" w:hAnsiTheme="minorHAnsi" w:cstheme="minorHAnsi"/>
                <w:b/>
                <w:bCs/>
                <w:sz w:val="20"/>
                <w:szCs w:val="20"/>
                <w:lang w:eastAsia="es-ES"/>
              </w:rPr>
            </w:pPr>
            <w:r w:rsidRPr="002E0419">
              <w:rPr>
                <w:rFonts w:asciiTheme="minorHAnsi" w:eastAsia="Times New Roman" w:hAnsiTheme="minorHAnsi" w:cstheme="minorHAnsi"/>
                <w:b/>
                <w:bCs/>
                <w:sz w:val="20"/>
                <w:szCs w:val="20"/>
                <w:lang w:eastAsia="es-ES"/>
              </w:rPr>
              <w:t>CN</w:t>
            </w:r>
          </w:p>
        </w:tc>
        <w:tc>
          <w:tcPr>
            <w:tcW w:w="6804" w:type="dxa"/>
            <w:shd w:val="clear" w:color="auto" w:fill="BFBFBF" w:themeFill="background1" w:themeFillShade="BF"/>
            <w:vAlign w:val="bottom"/>
          </w:tcPr>
          <w:p w:rsidR="00DB56E2" w:rsidRPr="002E0419" w:rsidRDefault="00DB56E2" w:rsidP="00DB56E2">
            <w:pPr>
              <w:jc w:val="center"/>
              <w:rPr>
                <w:rFonts w:asciiTheme="minorHAnsi" w:eastAsia="Times New Roman" w:hAnsiTheme="minorHAnsi" w:cstheme="minorHAnsi"/>
                <w:b/>
                <w:bCs/>
                <w:sz w:val="20"/>
                <w:szCs w:val="20"/>
                <w:lang w:eastAsia="es-ES"/>
              </w:rPr>
            </w:pPr>
            <w:r w:rsidRPr="002E0419">
              <w:rPr>
                <w:rFonts w:asciiTheme="minorHAnsi" w:eastAsia="Times New Roman" w:hAnsiTheme="minorHAnsi" w:cstheme="minorHAnsi"/>
                <w:b/>
                <w:bCs/>
                <w:sz w:val="20"/>
                <w:szCs w:val="20"/>
                <w:lang w:eastAsia="es-ES"/>
              </w:rPr>
              <w:t xml:space="preserve">NOMBRE </w:t>
            </w:r>
          </w:p>
        </w:tc>
      </w:tr>
      <w:tr w:rsidR="00DB56E2" w:rsidRPr="00DB56E2" w:rsidTr="00DB56E2">
        <w:trPr>
          <w:trHeight w:val="271"/>
        </w:trPr>
        <w:tc>
          <w:tcPr>
            <w:tcW w:w="1559" w:type="dxa"/>
            <w:shd w:val="clear" w:color="auto" w:fill="auto"/>
            <w:vAlign w:val="center"/>
            <w:hideMark/>
          </w:tcPr>
          <w:p w:rsidR="00DB56E2" w:rsidRPr="00DB56E2" w:rsidRDefault="00DB56E2" w:rsidP="00DB56E2">
            <w:pPr>
              <w:jc w:val="center"/>
              <w:rPr>
                <w:rFonts w:asciiTheme="minorHAnsi" w:eastAsia="Times New Roman" w:hAnsiTheme="minorHAnsi" w:cstheme="minorHAnsi"/>
                <w:sz w:val="20"/>
                <w:szCs w:val="20"/>
                <w:lang w:eastAsia="es-ES"/>
              </w:rPr>
            </w:pPr>
            <w:r w:rsidRPr="00DB56E2">
              <w:rPr>
                <w:rFonts w:asciiTheme="minorHAnsi" w:eastAsia="Times New Roman" w:hAnsiTheme="minorHAnsi" w:cstheme="minorHAnsi"/>
                <w:sz w:val="20"/>
                <w:szCs w:val="20"/>
                <w:lang w:eastAsia="es-ES"/>
              </w:rPr>
              <w:t>715792</w:t>
            </w:r>
          </w:p>
        </w:tc>
        <w:tc>
          <w:tcPr>
            <w:tcW w:w="6804" w:type="dxa"/>
            <w:shd w:val="clear" w:color="auto" w:fill="auto"/>
            <w:vAlign w:val="center"/>
            <w:hideMark/>
          </w:tcPr>
          <w:p w:rsidR="00DB56E2" w:rsidRPr="00DB56E2" w:rsidRDefault="00DB56E2" w:rsidP="00DB56E2">
            <w:pPr>
              <w:rPr>
                <w:rFonts w:asciiTheme="minorHAnsi" w:eastAsia="Times New Roman" w:hAnsiTheme="minorHAnsi" w:cstheme="minorHAnsi"/>
                <w:sz w:val="20"/>
                <w:szCs w:val="20"/>
                <w:lang w:eastAsia="es-ES"/>
              </w:rPr>
            </w:pPr>
            <w:r w:rsidRPr="00DB56E2">
              <w:rPr>
                <w:rFonts w:asciiTheme="minorHAnsi" w:eastAsia="Times New Roman" w:hAnsiTheme="minorHAnsi" w:cstheme="minorHAnsi"/>
                <w:sz w:val="20"/>
                <w:szCs w:val="20"/>
                <w:lang w:eastAsia="es-ES"/>
              </w:rPr>
              <w:t>IBUPROFENO FARMALIDER 40 MG/ML SUSPENSION ORAL EFG, 1 Frasco de 150 ml</w:t>
            </w:r>
          </w:p>
        </w:tc>
      </w:tr>
    </w:tbl>
    <w:p w:rsidR="00DB56E2" w:rsidRPr="00DB56E2" w:rsidRDefault="00DB56E2" w:rsidP="00DB56E2">
      <w:pPr>
        <w:jc w:val="both"/>
        <w:rPr>
          <w:rFonts w:cs="Calibri"/>
        </w:rPr>
      </w:pPr>
    </w:p>
    <w:p w:rsidR="00DB56E2" w:rsidRDefault="00DB56E2" w:rsidP="00B3192D">
      <w:pPr>
        <w:ind w:left="360"/>
        <w:jc w:val="both"/>
        <w:rPr>
          <w:rFonts w:cs="Calibri"/>
        </w:rPr>
      </w:pPr>
    </w:p>
    <w:p w:rsidR="00DB56E2" w:rsidRDefault="00DB56E2" w:rsidP="00B3192D">
      <w:pPr>
        <w:ind w:left="360"/>
        <w:jc w:val="both"/>
        <w:rPr>
          <w:rFonts w:cs="Calibri"/>
        </w:rPr>
      </w:pPr>
    </w:p>
    <w:p w:rsidR="002E0419" w:rsidRPr="00B3192D" w:rsidRDefault="002E0419" w:rsidP="00B3192D">
      <w:pPr>
        <w:ind w:left="360"/>
        <w:jc w:val="both"/>
        <w:rPr>
          <w:rFonts w:cs="Calibri"/>
        </w:rPr>
      </w:pPr>
    </w:p>
    <w:p w:rsidR="00E23866" w:rsidRPr="00AA0CBA" w:rsidRDefault="00E23866" w:rsidP="00AA0CBA">
      <w:pPr>
        <w:numPr>
          <w:ilvl w:val="0"/>
          <w:numId w:val="34"/>
        </w:numPr>
        <w:ind w:left="851"/>
        <w:jc w:val="both"/>
        <w:rPr>
          <w:rFonts w:eastAsia="Times New Roman" w:cs="Calibri"/>
          <w:b/>
          <w:u w:val="single"/>
          <w:lang w:eastAsia="es-ES"/>
        </w:rPr>
      </w:pPr>
      <w:r w:rsidRPr="00AA0CBA">
        <w:rPr>
          <w:rFonts w:eastAsia="Times New Roman" w:cs="Calibri"/>
          <w:b/>
          <w:u w:val="single"/>
          <w:lang w:eastAsia="es-ES"/>
        </w:rPr>
        <w:t>INCLUSIONES EN LA PRESTACIÓN FARMACÉUTICA DEL SNS CON RESOLUCIÓN DE FINANCIACIÓN</w:t>
      </w:r>
    </w:p>
    <w:p w:rsidR="00E23866" w:rsidRPr="00AC4343" w:rsidRDefault="00E23866" w:rsidP="00E23866">
      <w:pPr>
        <w:widowControl w:val="0"/>
        <w:ind w:left="426"/>
        <w:jc w:val="both"/>
        <w:rPr>
          <w:rFonts w:eastAsia="Times New Roman" w:cs="Arial"/>
          <w:b/>
          <w:color w:val="FF0000"/>
          <w:u w:val="single"/>
          <w:lang w:eastAsia="es-ES"/>
        </w:rPr>
      </w:pPr>
    </w:p>
    <w:p w:rsidR="00E23866" w:rsidRPr="00AC4343" w:rsidRDefault="00E23866" w:rsidP="00E23866">
      <w:pPr>
        <w:widowControl w:val="0"/>
        <w:ind w:left="426"/>
        <w:jc w:val="both"/>
        <w:rPr>
          <w:rFonts w:asciiTheme="minorHAnsi" w:hAnsiTheme="minorHAnsi" w:cs="Arial"/>
        </w:rPr>
      </w:pPr>
      <w:r w:rsidRPr="00AC4343">
        <w:rPr>
          <w:rFonts w:asciiTheme="minorHAnsi" w:hAnsiTheme="minorHAnsi" w:cs="Arial"/>
        </w:rPr>
        <w:t xml:space="preserve">En el mes de </w:t>
      </w:r>
      <w:r w:rsidR="00BB2F04">
        <w:rPr>
          <w:rFonts w:asciiTheme="minorHAnsi" w:hAnsiTheme="minorHAnsi" w:cs="Arial"/>
        </w:rPr>
        <w:t>ju</w:t>
      </w:r>
      <w:r w:rsidR="001E56A0">
        <w:rPr>
          <w:rFonts w:asciiTheme="minorHAnsi" w:hAnsiTheme="minorHAnsi" w:cs="Arial"/>
        </w:rPr>
        <w:t>l</w:t>
      </w:r>
      <w:r w:rsidR="00BB2F04">
        <w:rPr>
          <w:rFonts w:asciiTheme="minorHAnsi" w:hAnsiTheme="minorHAnsi" w:cs="Arial"/>
        </w:rPr>
        <w:t>io</w:t>
      </w:r>
      <w:r w:rsidR="009C735D">
        <w:rPr>
          <w:rFonts w:asciiTheme="minorHAnsi" w:hAnsiTheme="minorHAnsi" w:cs="Arial"/>
        </w:rPr>
        <w:t xml:space="preserve"> </w:t>
      </w:r>
      <w:r>
        <w:rPr>
          <w:rFonts w:asciiTheme="minorHAnsi" w:hAnsiTheme="minorHAnsi" w:cs="Arial"/>
        </w:rPr>
        <w:t>2024</w:t>
      </w:r>
      <w:r w:rsidRPr="00AC4343">
        <w:rPr>
          <w:rFonts w:asciiTheme="minorHAnsi" w:hAnsiTheme="minorHAnsi" w:cs="Arial"/>
        </w:rPr>
        <w:t>, se han incluido en la prestación farmacéutica del SNS, independientemente de su comercialización</w:t>
      </w:r>
      <w:r w:rsidR="00653B93">
        <w:rPr>
          <w:rFonts w:asciiTheme="minorHAnsi" w:hAnsiTheme="minorHAnsi" w:cs="Arial"/>
        </w:rPr>
        <w:t xml:space="preserve"> </w:t>
      </w:r>
      <w:r w:rsidR="008A6B2F">
        <w:rPr>
          <w:rFonts w:asciiTheme="minorHAnsi" w:hAnsiTheme="minorHAnsi" w:cs="Arial"/>
          <w:b/>
        </w:rPr>
        <w:t>103</w:t>
      </w:r>
      <w:r w:rsidRPr="00AC4343">
        <w:rPr>
          <w:rFonts w:asciiTheme="minorHAnsi" w:hAnsiTheme="minorHAnsi" w:cs="Arial"/>
          <w:b/>
        </w:rPr>
        <w:t xml:space="preserve"> </w:t>
      </w:r>
      <w:r w:rsidRPr="00AC4343">
        <w:rPr>
          <w:rFonts w:asciiTheme="minorHAnsi" w:hAnsiTheme="minorHAnsi" w:cs="Arial"/>
        </w:rPr>
        <w:t>presentaciones de medicamentos:</w:t>
      </w:r>
    </w:p>
    <w:p w:rsidR="00E23866" w:rsidRPr="00AC4343" w:rsidRDefault="00E23866" w:rsidP="00E23866">
      <w:pPr>
        <w:widowControl w:val="0"/>
        <w:ind w:left="426"/>
        <w:jc w:val="both"/>
        <w:rPr>
          <w:rFonts w:asciiTheme="minorHAnsi" w:hAnsiTheme="minorHAnsi" w:cs="Arial"/>
        </w:rPr>
      </w:pPr>
    </w:p>
    <w:tbl>
      <w:tblPr>
        <w:tblW w:w="5780" w:type="dxa"/>
        <w:tblInd w:w="1207" w:type="dxa"/>
        <w:tblCellMar>
          <w:left w:w="70" w:type="dxa"/>
          <w:right w:w="70" w:type="dxa"/>
        </w:tblCellMar>
        <w:tblLook w:val="04A0" w:firstRow="1" w:lastRow="0" w:firstColumn="1" w:lastColumn="0" w:noHBand="0" w:noVBand="1"/>
      </w:tblPr>
      <w:tblGrid>
        <w:gridCol w:w="3040"/>
        <w:gridCol w:w="1400"/>
        <w:gridCol w:w="1340"/>
      </w:tblGrid>
      <w:tr w:rsidR="00E23866" w:rsidRPr="00AC4343" w:rsidTr="00AC0E60">
        <w:trPr>
          <w:trHeight w:val="492"/>
        </w:trPr>
        <w:tc>
          <w:tcPr>
            <w:tcW w:w="3040" w:type="dxa"/>
            <w:vMerge w:val="restart"/>
            <w:tcBorders>
              <w:top w:val="single" w:sz="4" w:space="0" w:color="CACAD9"/>
              <w:left w:val="single" w:sz="4" w:space="0" w:color="CACAD9"/>
              <w:bottom w:val="single" w:sz="4" w:space="0" w:color="CACAD9"/>
              <w:right w:val="single" w:sz="4" w:space="0" w:color="CACAD9"/>
            </w:tcBorders>
            <w:shd w:val="clear" w:color="FFFFFF" w:fill="8791A6"/>
            <w:vAlign w:val="center"/>
            <w:hideMark/>
          </w:tcPr>
          <w:p w:rsidR="00E23866" w:rsidRPr="00AC4343" w:rsidRDefault="00E23866" w:rsidP="00AC0E60">
            <w:pPr>
              <w:jc w:val="center"/>
              <w:rPr>
                <w:rFonts w:asciiTheme="minorHAnsi" w:eastAsia="Times New Roman" w:hAnsiTheme="minorHAnsi" w:cs="Arial"/>
                <w:b/>
                <w:bCs/>
                <w:lang w:eastAsia="es-ES"/>
              </w:rPr>
            </w:pPr>
            <w:r w:rsidRPr="00AC4343">
              <w:rPr>
                <w:rFonts w:asciiTheme="minorHAnsi" w:eastAsia="Times New Roman" w:hAnsiTheme="minorHAnsi" w:cs="Arial"/>
                <w:b/>
                <w:bCs/>
                <w:lang w:eastAsia="es-ES"/>
              </w:rPr>
              <w:t> </w:t>
            </w:r>
          </w:p>
        </w:tc>
        <w:tc>
          <w:tcPr>
            <w:tcW w:w="2740" w:type="dxa"/>
            <w:gridSpan w:val="2"/>
            <w:tcBorders>
              <w:top w:val="single" w:sz="4" w:space="0" w:color="CACAD9"/>
              <w:left w:val="nil"/>
              <w:bottom w:val="single" w:sz="4" w:space="0" w:color="CACAD9"/>
              <w:right w:val="single" w:sz="12" w:space="0" w:color="CACAD9"/>
            </w:tcBorders>
            <w:shd w:val="clear" w:color="FFFFFF" w:fill="8791A6"/>
            <w:vAlign w:val="center"/>
            <w:hideMark/>
          </w:tcPr>
          <w:p w:rsidR="00E23866" w:rsidRPr="00AC4343" w:rsidRDefault="00E23866" w:rsidP="001E56A0">
            <w:pPr>
              <w:jc w:val="center"/>
              <w:rPr>
                <w:rFonts w:asciiTheme="minorHAnsi" w:eastAsia="Times New Roman" w:hAnsiTheme="minorHAnsi" w:cs="Arial"/>
                <w:b/>
                <w:bCs/>
                <w:sz w:val="20"/>
                <w:szCs w:val="20"/>
                <w:lang w:eastAsia="es-ES"/>
              </w:rPr>
            </w:pPr>
            <w:r w:rsidRPr="00AC4343">
              <w:rPr>
                <w:rFonts w:asciiTheme="minorHAnsi" w:eastAsia="Times New Roman" w:hAnsiTheme="minorHAnsi" w:cs="Arial"/>
                <w:b/>
                <w:bCs/>
                <w:sz w:val="20"/>
                <w:szCs w:val="20"/>
                <w:lang w:eastAsia="es-ES"/>
              </w:rPr>
              <w:t xml:space="preserve">MES </w:t>
            </w:r>
            <w:r w:rsidRPr="00AC4343">
              <w:rPr>
                <w:rFonts w:asciiTheme="minorHAnsi" w:eastAsia="Times New Roman" w:hAnsiTheme="minorHAnsi" w:cs="Arial"/>
                <w:b/>
                <w:bCs/>
                <w:sz w:val="20"/>
                <w:szCs w:val="20"/>
                <w:lang w:eastAsia="es-ES"/>
              </w:rPr>
              <w:br/>
            </w:r>
            <w:r w:rsidR="00BB2F04">
              <w:rPr>
                <w:rFonts w:asciiTheme="minorHAnsi" w:eastAsia="Times New Roman" w:hAnsiTheme="minorHAnsi" w:cs="Arial"/>
                <w:b/>
                <w:bCs/>
                <w:sz w:val="20"/>
                <w:szCs w:val="20"/>
                <w:lang w:eastAsia="es-ES"/>
              </w:rPr>
              <w:t>JU</w:t>
            </w:r>
            <w:r w:rsidR="001E56A0">
              <w:rPr>
                <w:rFonts w:asciiTheme="minorHAnsi" w:eastAsia="Times New Roman" w:hAnsiTheme="minorHAnsi" w:cs="Arial"/>
                <w:b/>
                <w:bCs/>
                <w:sz w:val="20"/>
                <w:szCs w:val="20"/>
                <w:lang w:eastAsia="es-ES"/>
              </w:rPr>
              <w:t>L</w:t>
            </w:r>
            <w:r w:rsidR="00BB2F04">
              <w:rPr>
                <w:rFonts w:asciiTheme="minorHAnsi" w:eastAsia="Times New Roman" w:hAnsiTheme="minorHAnsi" w:cs="Arial"/>
                <w:b/>
                <w:bCs/>
                <w:sz w:val="20"/>
                <w:szCs w:val="20"/>
                <w:lang w:eastAsia="es-ES"/>
              </w:rPr>
              <w:t>IO -</w:t>
            </w:r>
            <w:r>
              <w:rPr>
                <w:rFonts w:asciiTheme="minorHAnsi" w:eastAsia="Times New Roman" w:hAnsiTheme="minorHAnsi" w:cs="Arial"/>
                <w:b/>
                <w:bCs/>
                <w:sz w:val="20"/>
                <w:szCs w:val="20"/>
                <w:lang w:eastAsia="es-ES"/>
              </w:rPr>
              <w:t xml:space="preserve"> 24</w:t>
            </w:r>
          </w:p>
        </w:tc>
      </w:tr>
      <w:tr w:rsidR="00E23866" w:rsidRPr="00AC4343" w:rsidTr="00AC0E60">
        <w:trPr>
          <w:trHeight w:val="383"/>
        </w:trPr>
        <w:tc>
          <w:tcPr>
            <w:tcW w:w="3040" w:type="dxa"/>
            <w:vMerge/>
            <w:tcBorders>
              <w:top w:val="single" w:sz="4" w:space="0" w:color="CACAD9"/>
              <w:left w:val="single" w:sz="4" w:space="0" w:color="CACAD9"/>
              <w:bottom w:val="single" w:sz="4" w:space="0" w:color="CACAD9"/>
              <w:right w:val="single" w:sz="4" w:space="0" w:color="CACAD9"/>
            </w:tcBorders>
            <w:vAlign w:val="center"/>
            <w:hideMark/>
          </w:tcPr>
          <w:p w:rsidR="00E23866" w:rsidRPr="00AC4343" w:rsidRDefault="00E23866" w:rsidP="00AC0E60">
            <w:pPr>
              <w:rPr>
                <w:rFonts w:asciiTheme="minorHAnsi" w:eastAsia="Times New Roman" w:hAnsiTheme="minorHAnsi" w:cs="Arial"/>
                <w:b/>
                <w:bCs/>
                <w:lang w:eastAsia="es-ES"/>
              </w:rPr>
            </w:pPr>
          </w:p>
        </w:tc>
        <w:tc>
          <w:tcPr>
            <w:tcW w:w="1400" w:type="dxa"/>
            <w:tcBorders>
              <w:top w:val="nil"/>
              <w:left w:val="nil"/>
              <w:bottom w:val="single" w:sz="4" w:space="0" w:color="CACAD9"/>
              <w:right w:val="single" w:sz="4" w:space="0" w:color="CACAD9"/>
            </w:tcBorders>
            <w:shd w:val="clear" w:color="FFFFFF" w:fill="8791A6"/>
            <w:vAlign w:val="center"/>
            <w:hideMark/>
          </w:tcPr>
          <w:p w:rsidR="00E23866" w:rsidRPr="00AC4343" w:rsidRDefault="00E23866" w:rsidP="00AC0E60">
            <w:pPr>
              <w:jc w:val="center"/>
              <w:rPr>
                <w:rFonts w:asciiTheme="minorHAnsi" w:eastAsia="Times New Roman" w:hAnsiTheme="minorHAnsi" w:cs="Arial"/>
                <w:b/>
                <w:bCs/>
                <w:sz w:val="20"/>
                <w:szCs w:val="20"/>
                <w:lang w:eastAsia="es-ES"/>
              </w:rPr>
            </w:pPr>
            <w:r w:rsidRPr="00AC4343">
              <w:rPr>
                <w:rFonts w:asciiTheme="minorHAnsi" w:eastAsia="Times New Roman" w:hAnsiTheme="minorHAnsi" w:cs="Arial"/>
                <w:b/>
                <w:bCs/>
                <w:sz w:val="20"/>
                <w:szCs w:val="20"/>
                <w:lang w:eastAsia="es-ES"/>
              </w:rPr>
              <w:t>Nº</w:t>
            </w:r>
          </w:p>
        </w:tc>
        <w:tc>
          <w:tcPr>
            <w:tcW w:w="1340" w:type="dxa"/>
            <w:tcBorders>
              <w:top w:val="nil"/>
              <w:left w:val="nil"/>
              <w:bottom w:val="single" w:sz="4" w:space="0" w:color="CACAD9"/>
              <w:right w:val="single" w:sz="12" w:space="0" w:color="CACAD9"/>
            </w:tcBorders>
            <w:shd w:val="clear" w:color="FFFFFF" w:fill="8791A6"/>
            <w:vAlign w:val="center"/>
            <w:hideMark/>
          </w:tcPr>
          <w:p w:rsidR="00E23866" w:rsidRPr="00AC4343" w:rsidRDefault="00E23866" w:rsidP="00AC0E60">
            <w:pPr>
              <w:jc w:val="center"/>
              <w:rPr>
                <w:rFonts w:asciiTheme="minorHAnsi" w:eastAsia="Times New Roman" w:hAnsiTheme="minorHAnsi" w:cs="Arial"/>
                <w:b/>
                <w:bCs/>
                <w:sz w:val="20"/>
                <w:szCs w:val="20"/>
                <w:lang w:eastAsia="es-ES"/>
              </w:rPr>
            </w:pPr>
            <w:r w:rsidRPr="00AC4343">
              <w:rPr>
                <w:rFonts w:asciiTheme="minorHAnsi" w:eastAsia="Times New Roman" w:hAnsiTheme="minorHAnsi" w:cs="Arial"/>
                <w:b/>
                <w:bCs/>
                <w:sz w:val="20"/>
                <w:szCs w:val="20"/>
                <w:lang w:eastAsia="es-ES"/>
              </w:rPr>
              <w:t>% s. Total</w:t>
            </w:r>
          </w:p>
        </w:tc>
      </w:tr>
      <w:tr w:rsidR="00E23866" w:rsidRPr="00AC4343" w:rsidTr="00AC0E60">
        <w:trPr>
          <w:trHeight w:val="255"/>
        </w:trPr>
        <w:tc>
          <w:tcPr>
            <w:tcW w:w="3040" w:type="dxa"/>
            <w:tcBorders>
              <w:top w:val="single" w:sz="4" w:space="0" w:color="CAC9D9"/>
              <w:left w:val="single" w:sz="4" w:space="0" w:color="CAC9D9"/>
              <w:bottom w:val="single" w:sz="4" w:space="0" w:color="CAC9D9"/>
              <w:right w:val="single" w:sz="4" w:space="0" w:color="CAC9D9"/>
            </w:tcBorders>
            <w:shd w:val="clear" w:color="FFFFFF" w:fill="E6E6E1"/>
            <w:noWrap/>
            <w:vAlign w:val="center"/>
            <w:hideMark/>
          </w:tcPr>
          <w:p w:rsidR="00E23866" w:rsidRPr="00AC4343" w:rsidRDefault="00E23866" w:rsidP="00AC0E60">
            <w:pPr>
              <w:rPr>
                <w:rFonts w:asciiTheme="minorHAnsi" w:eastAsia="Times New Roman" w:hAnsiTheme="minorHAnsi" w:cs="Arial"/>
                <w:sz w:val="20"/>
                <w:szCs w:val="20"/>
                <w:lang w:eastAsia="es-ES"/>
              </w:rPr>
            </w:pPr>
            <w:r w:rsidRPr="00AC4343">
              <w:rPr>
                <w:rFonts w:asciiTheme="minorHAnsi" w:eastAsia="Times New Roman" w:hAnsiTheme="minorHAnsi" w:cs="Arial"/>
                <w:sz w:val="20"/>
                <w:szCs w:val="20"/>
                <w:lang w:eastAsia="es-ES"/>
              </w:rPr>
              <w:t>Envase Normal</w:t>
            </w:r>
          </w:p>
        </w:tc>
        <w:tc>
          <w:tcPr>
            <w:tcW w:w="1400" w:type="dxa"/>
            <w:tcBorders>
              <w:top w:val="single" w:sz="4" w:space="0" w:color="CAC9D9"/>
              <w:left w:val="nil"/>
              <w:bottom w:val="single" w:sz="4" w:space="0" w:color="CAC9D9"/>
              <w:right w:val="single" w:sz="4" w:space="0" w:color="CAC9D9"/>
            </w:tcBorders>
            <w:shd w:val="clear" w:color="FFFFFF" w:fill="FFFFFF"/>
            <w:noWrap/>
            <w:vAlign w:val="bottom"/>
          </w:tcPr>
          <w:p w:rsidR="00E23866" w:rsidRPr="00AC4343" w:rsidRDefault="008A6B2F" w:rsidP="00AC0E60">
            <w:pPr>
              <w:jc w:val="right"/>
              <w:rPr>
                <w:rFonts w:asciiTheme="minorHAnsi" w:hAnsiTheme="minorHAnsi" w:cs="Arial"/>
                <w:sz w:val="20"/>
                <w:szCs w:val="20"/>
              </w:rPr>
            </w:pPr>
            <w:r>
              <w:rPr>
                <w:rFonts w:asciiTheme="minorHAnsi" w:hAnsiTheme="minorHAnsi" w:cs="Arial"/>
                <w:sz w:val="20"/>
                <w:szCs w:val="20"/>
              </w:rPr>
              <w:t>98</w:t>
            </w:r>
          </w:p>
        </w:tc>
        <w:tc>
          <w:tcPr>
            <w:tcW w:w="1340" w:type="dxa"/>
            <w:tcBorders>
              <w:top w:val="single" w:sz="4" w:space="0" w:color="CAC9D9"/>
              <w:left w:val="nil"/>
              <w:bottom w:val="single" w:sz="4" w:space="0" w:color="CAC9D9"/>
              <w:right w:val="single" w:sz="12" w:space="0" w:color="CAC9D9"/>
            </w:tcBorders>
            <w:shd w:val="clear" w:color="FFFFFF" w:fill="FFFFFF"/>
            <w:noWrap/>
            <w:vAlign w:val="bottom"/>
          </w:tcPr>
          <w:p w:rsidR="00E23866" w:rsidRPr="00AC4343" w:rsidRDefault="008A6B2F" w:rsidP="00AC0E60">
            <w:pPr>
              <w:jc w:val="right"/>
              <w:rPr>
                <w:rFonts w:asciiTheme="minorHAnsi" w:hAnsiTheme="minorHAnsi" w:cs="Arial"/>
                <w:sz w:val="20"/>
                <w:szCs w:val="20"/>
              </w:rPr>
            </w:pPr>
            <w:r>
              <w:rPr>
                <w:rFonts w:asciiTheme="minorHAnsi" w:hAnsiTheme="minorHAnsi" w:cs="Arial"/>
                <w:sz w:val="20"/>
                <w:szCs w:val="20"/>
              </w:rPr>
              <w:t>95,1%</w:t>
            </w:r>
          </w:p>
        </w:tc>
      </w:tr>
      <w:tr w:rsidR="00E23866" w:rsidRPr="00AC4343" w:rsidTr="00AC0E60">
        <w:trPr>
          <w:trHeight w:val="267"/>
        </w:trPr>
        <w:tc>
          <w:tcPr>
            <w:tcW w:w="3040" w:type="dxa"/>
            <w:tcBorders>
              <w:top w:val="nil"/>
              <w:left w:val="single" w:sz="4" w:space="0" w:color="CAC9D9"/>
              <w:bottom w:val="single" w:sz="4" w:space="0" w:color="CAC9D9"/>
              <w:right w:val="single" w:sz="4" w:space="0" w:color="CAC9D9"/>
            </w:tcBorders>
            <w:shd w:val="clear" w:color="FFFFFF" w:fill="E6E6E1"/>
            <w:noWrap/>
            <w:vAlign w:val="center"/>
            <w:hideMark/>
          </w:tcPr>
          <w:p w:rsidR="00E23866" w:rsidRPr="00AC4343" w:rsidRDefault="00E23866" w:rsidP="00AC0E60">
            <w:pPr>
              <w:rPr>
                <w:rFonts w:asciiTheme="minorHAnsi" w:eastAsia="Times New Roman" w:hAnsiTheme="minorHAnsi" w:cs="Arial"/>
                <w:sz w:val="20"/>
                <w:szCs w:val="20"/>
                <w:lang w:eastAsia="es-ES"/>
              </w:rPr>
            </w:pPr>
            <w:r w:rsidRPr="00AC4343">
              <w:rPr>
                <w:rFonts w:asciiTheme="minorHAnsi" w:eastAsia="Times New Roman" w:hAnsiTheme="minorHAnsi" w:cs="Arial"/>
                <w:sz w:val="20"/>
                <w:szCs w:val="20"/>
                <w:lang w:eastAsia="es-ES"/>
              </w:rPr>
              <w:t>Envase clínico</w:t>
            </w:r>
          </w:p>
        </w:tc>
        <w:tc>
          <w:tcPr>
            <w:tcW w:w="1400" w:type="dxa"/>
            <w:tcBorders>
              <w:top w:val="nil"/>
              <w:left w:val="nil"/>
              <w:bottom w:val="single" w:sz="4" w:space="0" w:color="CAC9D9"/>
              <w:right w:val="single" w:sz="4" w:space="0" w:color="CAC9D9"/>
            </w:tcBorders>
            <w:shd w:val="clear" w:color="FFFFFF" w:fill="FFFFFF"/>
            <w:noWrap/>
            <w:vAlign w:val="bottom"/>
          </w:tcPr>
          <w:p w:rsidR="00E23866" w:rsidRPr="00AC4343" w:rsidRDefault="008A6B2F" w:rsidP="00AC0E60">
            <w:pPr>
              <w:jc w:val="right"/>
              <w:rPr>
                <w:rFonts w:asciiTheme="minorHAnsi" w:hAnsiTheme="minorHAnsi" w:cs="Arial"/>
                <w:sz w:val="20"/>
                <w:szCs w:val="20"/>
              </w:rPr>
            </w:pPr>
            <w:r>
              <w:rPr>
                <w:rFonts w:asciiTheme="minorHAnsi" w:hAnsiTheme="minorHAnsi" w:cs="Arial"/>
                <w:sz w:val="20"/>
                <w:szCs w:val="20"/>
              </w:rPr>
              <w:t>5</w:t>
            </w:r>
          </w:p>
        </w:tc>
        <w:tc>
          <w:tcPr>
            <w:tcW w:w="1340" w:type="dxa"/>
            <w:tcBorders>
              <w:top w:val="nil"/>
              <w:left w:val="nil"/>
              <w:bottom w:val="single" w:sz="4" w:space="0" w:color="CAC9D9"/>
              <w:right w:val="single" w:sz="12" w:space="0" w:color="CAC9D9"/>
            </w:tcBorders>
            <w:shd w:val="clear" w:color="FFFFFF" w:fill="FFFFFF"/>
            <w:noWrap/>
            <w:vAlign w:val="bottom"/>
          </w:tcPr>
          <w:p w:rsidR="00E23866" w:rsidRPr="00AC4343" w:rsidRDefault="008A6B2F" w:rsidP="00AC0E60">
            <w:pPr>
              <w:jc w:val="right"/>
              <w:rPr>
                <w:rFonts w:asciiTheme="minorHAnsi" w:hAnsiTheme="minorHAnsi" w:cs="Arial"/>
                <w:sz w:val="20"/>
                <w:szCs w:val="20"/>
              </w:rPr>
            </w:pPr>
            <w:r>
              <w:rPr>
                <w:rFonts w:asciiTheme="minorHAnsi" w:hAnsiTheme="minorHAnsi" w:cs="Arial"/>
                <w:sz w:val="20"/>
                <w:szCs w:val="20"/>
              </w:rPr>
              <w:t>4,9%</w:t>
            </w:r>
          </w:p>
        </w:tc>
      </w:tr>
      <w:tr w:rsidR="00E23866" w:rsidRPr="00AC4343" w:rsidTr="00AC0E60">
        <w:trPr>
          <w:trHeight w:val="267"/>
        </w:trPr>
        <w:tc>
          <w:tcPr>
            <w:tcW w:w="3040" w:type="dxa"/>
            <w:tcBorders>
              <w:top w:val="nil"/>
              <w:left w:val="single" w:sz="4" w:space="0" w:color="CAC9D9"/>
              <w:bottom w:val="single" w:sz="4" w:space="0" w:color="CAC9D9"/>
              <w:right w:val="single" w:sz="4" w:space="0" w:color="CAC9D9"/>
            </w:tcBorders>
            <w:shd w:val="clear" w:color="FFFFFF" w:fill="E6E6E1"/>
            <w:noWrap/>
            <w:vAlign w:val="center"/>
            <w:hideMark/>
          </w:tcPr>
          <w:p w:rsidR="00E23866" w:rsidRPr="00AC4343" w:rsidRDefault="00E23866" w:rsidP="00AC0E60">
            <w:pPr>
              <w:rPr>
                <w:rFonts w:asciiTheme="minorHAnsi" w:eastAsia="Times New Roman" w:hAnsiTheme="minorHAnsi" w:cs="Arial"/>
                <w:b/>
                <w:bCs/>
                <w:sz w:val="20"/>
                <w:szCs w:val="20"/>
                <w:lang w:eastAsia="es-ES"/>
              </w:rPr>
            </w:pPr>
            <w:r w:rsidRPr="00AC4343">
              <w:rPr>
                <w:rFonts w:asciiTheme="minorHAnsi" w:eastAsia="Times New Roman" w:hAnsiTheme="minorHAnsi" w:cs="Arial"/>
                <w:b/>
                <w:bCs/>
                <w:sz w:val="20"/>
                <w:szCs w:val="20"/>
                <w:lang w:eastAsia="es-ES"/>
              </w:rPr>
              <w:t>Total</w:t>
            </w:r>
          </w:p>
        </w:tc>
        <w:tc>
          <w:tcPr>
            <w:tcW w:w="1400" w:type="dxa"/>
            <w:tcBorders>
              <w:top w:val="nil"/>
              <w:left w:val="nil"/>
              <w:bottom w:val="single" w:sz="4" w:space="0" w:color="CAC9D9"/>
              <w:right w:val="single" w:sz="4" w:space="0" w:color="CAC9D9"/>
            </w:tcBorders>
            <w:shd w:val="clear" w:color="FFFFFF" w:fill="FFFFFF"/>
            <w:noWrap/>
            <w:vAlign w:val="bottom"/>
          </w:tcPr>
          <w:p w:rsidR="00E23866" w:rsidRPr="00AC4343" w:rsidRDefault="008A6B2F" w:rsidP="00AC0E60">
            <w:pPr>
              <w:jc w:val="right"/>
              <w:rPr>
                <w:rFonts w:asciiTheme="minorHAnsi" w:hAnsiTheme="minorHAnsi" w:cs="Arial"/>
                <w:b/>
                <w:bCs/>
                <w:sz w:val="20"/>
                <w:szCs w:val="20"/>
              </w:rPr>
            </w:pPr>
            <w:r>
              <w:rPr>
                <w:rFonts w:asciiTheme="minorHAnsi" w:hAnsiTheme="minorHAnsi" w:cs="Arial"/>
                <w:b/>
                <w:bCs/>
                <w:sz w:val="20"/>
                <w:szCs w:val="20"/>
              </w:rPr>
              <w:t>103</w:t>
            </w:r>
          </w:p>
        </w:tc>
        <w:tc>
          <w:tcPr>
            <w:tcW w:w="1340" w:type="dxa"/>
            <w:tcBorders>
              <w:top w:val="nil"/>
              <w:left w:val="nil"/>
              <w:bottom w:val="single" w:sz="4" w:space="0" w:color="CAC9D9"/>
              <w:right w:val="single" w:sz="12" w:space="0" w:color="CAC9D9"/>
            </w:tcBorders>
            <w:shd w:val="clear" w:color="FFFFFF" w:fill="FFFFFF"/>
            <w:noWrap/>
            <w:vAlign w:val="bottom"/>
          </w:tcPr>
          <w:p w:rsidR="00E23866" w:rsidRPr="00AC4343" w:rsidRDefault="00E23866" w:rsidP="00AC0E60">
            <w:pPr>
              <w:jc w:val="right"/>
              <w:rPr>
                <w:rFonts w:asciiTheme="minorHAnsi" w:hAnsiTheme="minorHAnsi" w:cs="Arial"/>
                <w:sz w:val="20"/>
                <w:szCs w:val="20"/>
              </w:rPr>
            </w:pPr>
          </w:p>
        </w:tc>
      </w:tr>
      <w:tr w:rsidR="00E23866" w:rsidRPr="00AC4343" w:rsidTr="00AC0E60">
        <w:trPr>
          <w:trHeight w:val="267"/>
        </w:trPr>
        <w:tc>
          <w:tcPr>
            <w:tcW w:w="3040" w:type="dxa"/>
            <w:tcBorders>
              <w:top w:val="nil"/>
              <w:left w:val="single" w:sz="4" w:space="0" w:color="CAC9D9"/>
              <w:bottom w:val="single" w:sz="4" w:space="0" w:color="CAC9D9"/>
              <w:right w:val="single" w:sz="4" w:space="0" w:color="CAC9D9"/>
            </w:tcBorders>
            <w:shd w:val="clear" w:color="FFFFFF" w:fill="FFFFFF"/>
            <w:noWrap/>
            <w:vAlign w:val="center"/>
            <w:hideMark/>
          </w:tcPr>
          <w:p w:rsidR="00E23866" w:rsidRPr="00AC4343" w:rsidRDefault="00E23866" w:rsidP="00AC0E60">
            <w:pPr>
              <w:rPr>
                <w:rFonts w:asciiTheme="minorHAnsi" w:eastAsia="Times New Roman" w:hAnsiTheme="minorHAnsi" w:cs="Arial"/>
                <w:sz w:val="20"/>
                <w:szCs w:val="20"/>
                <w:lang w:eastAsia="es-ES"/>
              </w:rPr>
            </w:pPr>
            <w:r w:rsidRPr="00AC4343">
              <w:rPr>
                <w:rFonts w:asciiTheme="minorHAnsi" w:eastAsia="Times New Roman" w:hAnsiTheme="minorHAnsi" w:cs="Arial"/>
                <w:sz w:val="20"/>
                <w:szCs w:val="20"/>
                <w:lang w:eastAsia="es-ES"/>
              </w:rPr>
              <w:t> </w:t>
            </w:r>
          </w:p>
        </w:tc>
        <w:tc>
          <w:tcPr>
            <w:tcW w:w="1400" w:type="dxa"/>
            <w:tcBorders>
              <w:top w:val="nil"/>
              <w:left w:val="nil"/>
              <w:bottom w:val="single" w:sz="4" w:space="0" w:color="CAC9D9"/>
              <w:right w:val="single" w:sz="4" w:space="0" w:color="CAC9D9"/>
            </w:tcBorders>
            <w:shd w:val="clear" w:color="FFFFFF" w:fill="FFFFFF"/>
            <w:noWrap/>
            <w:vAlign w:val="bottom"/>
          </w:tcPr>
          <w:p w:rsidR="00E23866" w:rsidRPr="00AC4343" w:rsidRDefault="00E23866" w:rsidP="00AC0E60">
            <w:pPr>
              <w:jc w:val="right"/>
              <w:rPr>
                <w:rFonts w:asciiTheme="minorHAnsi" w:eastAsia="Times New Roman" w:hAnsiTheme="minorHAnsi" w:cs="Arial"/>
                <w:sz w:val="20"/>
                <w:szCs w:val="20"/>
                <w:lang w:eastAsia="es-ES"/>
              </w:rPr>
            </w:pPr>
          </w:p>
        </w:tc>
        <w:tc>
          <w:tcPr>
            <w:tcW w:w="1340" w:type="dxa"/>
            <w:tcBorders>
              <w:top w:val="nil"/>
              <w:left w:val="nil"/>
              <w:bottom w:val="single" w:sz="4" w:space="0" w:color="CAC9D9"/>
              <w:right w:val="single" w:sz="12" w:space="0" w:color="CAC9D9"/>
            </w:tcBorders>
            <w:shd w:val="clear" w:color="FFFFFF" w:fill="FFFFFF"/>
            <w:noWrap/>
            <w:vAlign w:val="bottom"/>
          </w:tcPr>
          <w:p w:rsidR="00E23866" w:rsidRPr="00AC4343" w:rsidRDefault="00E23866" w:rsidP="00AC0E60">
            <w:pPr>
              <w:jc w:val="right"/>
              <w:rPr>
                <w:rFonts w:asciiTheme="minorHAnsi" w:eastAsia="Times New Roman" w:hAnsiTheme="minorHAnsi" w:cs="Arial"/>
                <w:sz w:val="20"/>
                <w:szCs w:val="20"/>
                <w:lang w:eastAsia="es-ES"/>
              </w:rPr>
            </w:pPr>
          </w:p>
        </w:tc>
      </w:tr>
      <w:tr w:rsidR="00E23866" w:rsidRPr="00AC4343" w:rsidTr="00AC0E60">
        <w:trPr>
          <w:trHeight w:val="267"/>
        </w:trPr>
        <w:tc>
          <w:tcPr>
            <w:tcW w:w="3040" w:type="dxa"/>
            <w:tcBorders>
              <w:top w:val="nil"/>
              <w:left w:val="single" w:sz="4" w:space="0" w:color="CAC9D9"/>
              <w:bottom w:val="single" w:sz="4" w:space="0" w:color="CAC9D9"/>
              <w:right w:val="single" w:sz="4" w:space="0" w:color="CAC9D9"/>
            </w:tcBorders>
            <w:shd w:val="clear" w:color="FFFFFF" w:fill="E6E6E1"/>
            <w:noWrap/>
            <w:vAlign w:val="center"/>
            <w:hideMark/>
          </w:tcPr>
          <w:p w:rsidR="00E23866" w:rsidRPr="00AC4343" w:rsidRDefault="00E23866" w:rsidP="00AC0E60">
            <w:pPr>
              <w:rPr>
                <w:rFonts w:asciiTheme="minorHAnsi" w:eastAsia="Times New Roman" w:hAnsiTheme="minorHAnsi" w:cs="Arial"/>
                <w:sz w:val="20"/>
                <w:szCs w:val="20"/>
                <w:lang w:eastAsia="es-ES"/>
              </w:rPr>
            </w:pPr>
            <w:r w:rsidRPr="00AC4343">
              <w:rPr>
                <w:rFonts w:asciiTheme="minorHAnsi" w:eastAsia="Times New Roman" w:hAnsiTheme="minorHAnsi" w:cs="Arial"/>
                <w:sz w:val="20"/>
                <w:szCs w:val="20"/>
                <w:lang w:eastAsia="es-ES"/>
              </w:rPr>
              <w:t>Genéricos</w:t>
            </w:r>
          </w:p>
        </w:tc>
        <w:tc>
          <w:tcPr>
            <w:tcW w:w="1400" w:type="dxa"/>
            <w:tcBorders>
              <w:top w:val="nil"/>
              <w:left w:val="nil"/>
              <w:bottom w:val="single" w:sz="4" w:space="0" w:color="CAC9D9"/>
              <w:right w:val="single" w:sz="4" w:space="0" w:color="CAC9D9"/>
            </w:tcBorders>
            <w:shd w:val="clear" w:color="FFFFFF" w:fill="FFFFFF"/>
            <w:noWrap/>
            <w:vAlign w:val="bottom"/>
          </w:tcPr>
          <w:p w:rsidR="00E23866" w:rsidRPr="00AC4343" w:rsidRDefault="008A6B2F" w:rsidP="00AC0E60">
            <w:pPr>
              <w:jc w:val="right"/>
              <w:rPr>
                <w:rFonts w:asciiTheme="minorHAnsi" w:hAnsiTheme="minorHAnsi" w:cs="Arial"/>
                <w:sz w:val="20"/>
                <w:szCs w:val="20"/>
              </w:rPr>
            </w:pPr>
            <w:r>
              <w:rPr>
                <w:rFonts w:asciiTheme="minorHAnsi" w:hAnsiTheme="minorHAnsi" w:cs="Arial"/>
                <w:sz w:val="20"/>
                <w:szCs w:val="20"/>
              </w:rPr>
              <w:t>56</w:t>
            </w:r>
          </w:p>
        </w:tc>
        <w:tc>
          <w:tcPr>
            <w:tcW w:w="1340" w:type="dxa"/>
            <w:tcBorders>
              <w:top w:val="nil"/>
              <w:left w:val="nil"/>
              <w:bottom w:val="single" w:sz="4" w:space="0" w:color="CAC9D9"/>
              <w:right w:val="single" w:sz="12" w:space="0" w:color="CAC9D9"/>
            </w:tcBorders>
            <w:shd w:val="clear" w:color="FFFFFF" w:fill="FFFFFF"/>
            <w:noWrap/>
            <w:vAlign w:val="bottom"/>
          </w:tcPr>
          <w:p w:rsidR="00E23866" w:rsidRPr="00AC4343" w:rsidRDefault="008A6B2F" w:rsidP="00AC0E60">
            <w:pPr>
              <w:jc w:val="right"/>
              <w:rPr>
                <w:rFonts w:asciiTheme="minorHAnsi" w:hAnsiTheme="minorHAnsi" w:cs="Arial"/>
                <w:sz w:val="20"/>
                <w:szCs w:val="20"/>
              </w:rPr>
            </w:pPr>
            <w:r>
              <w:rPr>
                <w:rFonts w:asciiTheme="minorHAnsi" w:hAnsiTheme="minorHAnsi" w:cs="Arial"/>
                <w:sz w:val="20"/>
                <w:szCs w:val="20"/>
              </w:rPr>
              <w:t>54,4%</w:t>
            </w:r>
          </w:p>
        </w:tc>
      </w:tr>
      <w:tr w:rsidR="00E23866" w:rsidRPr="00AC4343" w:rsidTr="00AC0E60">
        <w:trPr>
          <w:trHeight w:val="267"/>
        </w:trPr>
        <w:tc>
          <w:tcPr>
            <w:tcW w:w="3040" w:type="dxa"/>
            <w:tcBorders>
              <w:top w:val="nil"/>
              <w:left w:val="single" w:sz="4" w:space="0" w:color="CAC9D9"/>
              <w:bottom w:val="single" w:sz="4" w:space="0" w:color="CAC9D9"/>
              <w:right w:val="single" w:sz="4" w:space="0" w:color="CAC9D9"/>
            </w:tcBorders>
            <w:shd w:val="clear" w:color="FFFFFF" w:fill="E6E6E1"/>
            <w:noWrap/>
            <w:vAlign w:val="center"/>
            <w:hideMark/>
          </w:tcPr>
          <w:p w:rsidR="00E23866" w:rsidRPr="00AC4343" w:rsidRDefault="00E23866" w:rsidP="00AC0E60">
            <w:pPr>
              <w:rPr>
                <w:rFonts w:asciiTheme="minorHAnsi" w:eastAsia="Times New Roman" w:hAnsiTheme="minorHAnsi" w:cs="Arial"/>
                <w:sz w:val="20"/>
                <w:szCs w:val="20"/>
                <w:lang w:eastAsia="es-ES"/>
              </w:rPr>
            </w:pPr>
            <w:r w:rsidRPr="00AC4343">
              <w:rPr>
                <w:rFonts w:asciiTheme="minorHAnsi" w:eastAsia="Times New Roman" w:hAnsiTheme="minorHAnsi" w:cs="Arial"/>
                <w:sz w:val="20"/>
                <w:szCs w:val="20"/>
                <w:lang w:eastAsia="es-ES"/>
              </w:rPr>
              <w:t>Biosimilares</w:t>
            </w:r>
          </w:p>
        </w:tc>
        <w:tc>
          <w:tcPr>
            <w:tcW w:w="1400" w:type="dxa"/>
            <w:tcBorders>
              <w:top w:val="nil"/>
              <w:left w:val="nil"/>
              <w:bottom w:val="single" w:sz="4" w:space="0" w:color="CAC9D9"/>
              <w:right w:val="single" w:sz="4" w:space="0" w:color="CAC9D9"/>
            </w:tcBorders>
            <w:shd w:val="clear" w:color="FFFFFF" w:fill="FFFFFF"/>
            <w:noWrap/>
            <w:vAlign w:val="bottom"/>
          </w:tcPr>
          <w:p w:rsidR="00E23866" w:rsidRPr="00AC4343" w:rsidRDefault="008A6B2F" w:rsidP="00AC0E60">
            <w:pPr>
              <w:jc w:val="right"/>
              <w:rPr>
                <w:rFonts w:asciiTheme="minorHAnsi" w:hAnsiTheme="minorHAnsi" w:cs="Arial"/>
                <w:sz w:val="20"/>
                <w:szCs w:val="20"/>
              </w:rPr>
            </w:pPr>
            <w:r>
              <w:rPr>
                <w:rFonts w:asciiTheme="minorHAnsi" w:hAnsiTheme="minorHAnsi" w:cs="Arial"/>
                <w:sz w:val="20"/>
                <w:szCs w:val="20"/>
              </w:rPr>
              <w:t>1</w:t>
            </w:r>
          </w:p>
        </w:tc>
        <w:tc>
          <w:tcPr>
            <w:tcW w:w="1340" w:type="dxa"/>
            <w:tcBorders>
              <w:top w:val="nil"/>
              <w:left w:val="nil"/>
              <w:bottom w:val="single" w:sz="4" w:space="0" w:color="CAC9D9"/>
              <w:right w:val="single" w:sz="12" w:space="0" w:color="CAC9D9"/>
            </w:tcBorders>
            <w:shd w:val="clear" w:color="FFFFFF" w:fill="FFFFFF"/>
            <w:noWrap/>
            <w:vAlign w:val="bottom"/>
          </w:tcPr>
          <w:p w:rsidR="00E23866" w:rsidRPr="00AC4343" w:rsidRDefault="008A6B2F" w:rsidP="00AC0E60">
            <w:pPr>
              <w:jc w:val="right"/>
              <w:rPr>
                <w:rFonts w:asciiTheme="minorHAnsi" w:hAnsiTheme="minorHAnsi" w:cs="Arial"/>
                <w:sz w:val="20"/>
                <w:szCs w:val="20"/>
              </w:rPr>
            </w:pPr>
            <w:r>
              <w:rPr>
                <w:rFonts w:asciiTheme="minorHAnsi" w:hAnsiTheme="minorHAnsi" w:cs="Arial"/>
                <w:sz w:val="20"/>
                <w:szCs w:val="20"/>
              </w:rPr>
              <w:t>0,97%</w:t>
            </w:r>
          </w:p>
        </w:tc>
      </w:tr>
      <w:tr w:rsidR="00E23866" w:rsidRPr="00AC4343" w:rsidTr="00AC0E60">
        <w:trPr>
          <w:trHeight w:val="267"/>
        </w:trPr>
        <w:tc>
          <w:tcPr>
            <w:tcW w:w="3040" w:type="dxa"/>
            <w:tcBorders>
              <w:top w:val="nil"/>
              <w:left w:val="single" w:sz="4" w:space="0" w:color="CAC9D9"/>
              <w:bottom w:val="single" w:sz="4" w:space="0" w:color="CAC9D9"/>
              <w:right w:val="single" w:sz="4" w:space="0" w:color="CAC9D9"/>
            </w:tcBorders>
            <w:shd w:val="clear" w:color="FFFFFF" w:fill="E6E6E1"/>
            <w:noWrap/>
            <w:vAlign w:val="center"/>
            <w:hideMark/>
          </w:tcPr>
          <w:p w:rsidR="00E23866" w:rsidRPr="00AC4343" w:rsidRDefault="00E23866" w:rsidP="00AC0E60">
            <w:pPr>
              <w:rPr>
                <w:rFonts w:asciiTheme="minorHAnsi" w:eastAsia="Times New Roman" w:hAnsiTheme="minorHAnsi" w:cs="Arial"/>
                <w:sz w:val="20"/>
                <w:szCs w:val="20"/>
                <w:lang w:eastAsia="es-ES"/>
              </w:rPr>
            </w:pPr>
            <w:r w:rsidRPr="00AC4343">
              <w:rPr>
                <w:rFonts w:asciiTheme="minorHAnsi" w:eastAsia="Times New Roman" w:hAnsiTheme="minorHAnsi" w:cs="Arial"/>
                <w:sz w:val="20"/>
                <w:szCs w:val="20"/>
                <w:lang w:eastAsia="es-ES"/>
              </w:rPr>
              <w:t>Huérfanos</w:t>
            </w:r>
          </w:p>
        </w:tc>
        <w:tc>
          <w:tcPr>
            <w:tcW w:w="1400" w:type="dxa"/>
            <w:tcBorders>
              <w:top w:val="nil"/>
              <w:left w:val="nil"/>
              <w:bottom w:val="single" w:sz="4" w:space="0" w:color="CAC9D9"/>
              <w:right w:val="single" w:sz="4" w:space="0" w:color="CAC9D9"/>
            </w:tcBorders>
            <w:shd w:val="clear" w:color="FFFFFF" w:fill="FFFFFF"/>
            <w:noWrap/>
            <w:vAlign w:val="bottom"/>
          </w:tcPr>
          <w:p w:rsidR="00E23866" w:rsidRPr="00AC4343" w:rsidRDefault="008A6B2F" w:rsidP="00AC0E60">
            <w:pPr>
              <w:jc w:val="right"/>
              <w:rPr>
                <w:rFonts w:asciiTheme="minorHAnsi" w:hAnsiTheme="minorHAnsi" w:cs="Arial"/>
                <w:sz w:val="20"/>
                <w:szCs w:val="20"/>
              </w:rPr>
            </w:pPr>
            <w:r>
              <w:rPr>
                <w:rFonts w:asciiTheme="minorHAnsi" w:hAnsiTheme="minorHAnsi" w:cs="Arial"/>
                <w:sz w:val="20"/>
                <w:szCs w:val="20"/>
              </w:rPr>
              <w:t>1</w:t>
            </w:r>
          </w:p>
        </w:tc>
        <w:tc>
          <w:tcPr>
            <w:tcW w:w="1340" w:type="dxa"/>
            <w:tcBorders>
              <w:top w:val="nil"/>
              <w:left w:val="nil"/>
              <w:bottom w:val="single" w:sz="4" w:space="0" w:color="CAC9D9"/>
              <w:right w:val="single" w:sz="12" w:space="0" w:color="CAC9D9"/>
            </w:tcBorders>
            <w:shd w:val="clear" w:color="FFFFFF" w:fill="FFFFFF"/>
            <w:noWrap/>
            <w:vAlign w:val="bottom"/>
          </w:tcPr>
          <w:p w:rsidR="00E23866" w:rsidRPr="00AC4343" w:rsidRDefault="008A6B2F" w:rsidP="00AC0E60">
            <w:pPr>
              <w:jc w:val="right"/>
              <w:rPr>
                <w:rFonts w:asciiTheme="minorHAnsi" w:hAnsiTheme="minorHAnsi" w:cs="Arial"/>
                <w:sz w:val="20"/>
                <w:szCs w:val="20"/>
              </w:rPr>
            </w:pPr>
            <w:r>
              <w:rPr>
                <w:rFonts w:asciiTheme="minorHAnsi" w:hAnsiTheme="minorHAnsi" w:cs="Arial"/>
                <w:sz w:val="20"/>
                <w:szCs w:val="20"/>
              </w:rPr>
              <w:t>1%</w:t>
            </w:r>
            <w:bookmarkStart w:id="0" w:name="_GoBack"/>
            <w:bookmarkEnd w:id="0"/>
          </w:p>
        </w:tc>
      </w:tr>
    </w:tbl>
    <w:p w:rsidR="00E23866" w:rsidRPr="00AC4343" w:rsidRDefault="00E23866" w:rsidP="00E23866">
      <w:pPr>
        <w:widowControl w:val="0"/>
        <w:jc w:val="both"/>
        <w:rPr>
          <w:rFonts w:asciiTheme="minorHAnsi" w:hAnsiTheme="minorHAnsi" w:cs="Arial"/>
        </w:rPr>
      </w:pPr>
    </w:p>
    <w:p w:rsidR="00E23866" w:rsidRPr="00AC4343" w:rsidRDefault="00E23866" w:rsidP="00E23866">
      <w:pPr>
        <w:widowControl w:val="0"/>
        <w:ind w:left="851"/>
        <w:jc w:val="both"/>
        <w:rPr>
          <w:rFonts w:asciiTheme="minorHAnsi" w:hAnsiTheme="minorHAnsi" w:cs="Arial"/>
        </w:rPr>
      </w:pPr>
      <w:r w:rsidRPr="00AC4343">
        <w:rPr>
          <w:rFonts w:asciiTheme="minorHAnsi" w:hAnsiTheme="minorHAnsi" w:cs="Arial"/>
        </w:rPr>
        <w:t xml:space="preserve">De estos </w:t>
      </w:r>
      <w:r w:rsidR="008A6B2F">
        <w:rPr>
          <w:rFonts w:asciiTheme="minorHAnsi" w:hAnsiTheme="minorHAnsi" w:cs="Arial"/>
        </w:rPr>
        <w:t>103</w:t>
      </w:r>
      <w:r w:rsidRPr="00AC4343">
        <w:rPr>
          <w:rFonts w:asciiTheme="minorHAnsi" w:hAnsiTheme="minorHAnsi" w:cs="Arial"/>
        </w:rPr>
        <w:t xml:space="preserve"> medicamentos, destacamos:</w:t>
      </w:r>
    </w:p>
    <w:p w:rsidR="00E23866" w:rsidRPr="00AC4343" w:rsidRDefault="00E23866" w:rsidP="00E23866">
      <w:pPr>
        <w:ind w:left="720"/>
        <w:jc w:val="both"/>
        <w:rPr>
          <w:rFonts w:eastAsia="Times New Roman" w:cs="Arial"/>
          <w:b/>
          <w:u w:val="single"/>
          <w:lang w:eastAsia="es-ES"/>
        </w:rPr>
      </w:pPr>
    </w:p>
    <w:p w:rsidR="002D09A4" w:rsidRPr="002D09A4" w:rsidRDefault="002D09A4" w:rsidP="00F065CF">
      <w:pPr>
        <w:pStyle w:val="Prrafodelista"/>
        <w:numPr>
          <w:ilvl w:val="0"/>
          <w:numId w:val="19"/>
        </w:numPr>
        <w:jc w:val="both"/>
        <w:rPr>
          <w:rFonts w:eastAsia="Times New Roman" w:cs="Arial"/>
          <w:b/>
          <w:vanish/>
          <w:u w:val="single"/>
          <w:lang w:eastAsia="es-ES"/>
        </w:rPr>
      </w:pPr>
    </w:p>
    <w:p w:rsidR="002D09A4" w:rsidRPr="002D09A4" w:rsidRDefault="002D09A4" w:rsidP="00F065CF">
      <w:pPr>
        <w:pStyle w:val="Prrafodelista"/>
        <w:numPr>
          <w:ilvl w:val="0"/>
          <w:numId w:val="19"/>
        </w:numPr>
        <w:jc w:val="both"/>
        <w:rPr>
          <w:rFonts w:eastAsia="Times New Roman" w:cs="Arial"/>
          <w:b/>
          <w:vanish/>
          <w:u w:val="single"/>
          <w:lang w:eastAsia="es-ES"/>
        </w:rPr>
      </w:pPr>
    </w:p>
    <w:p w:rsidR="00E23866" w:rsidRPr="00AA0CBA" w:rsidRDefault="009C6265" w:rsidP="00AA0CBA">
      <w:pPr>
        <w:numPr>
          <w:ilvl w:val="2"/>
          <w:numId w:val="34"/>
        </w:numPr>
        <w:jc w:val="both"/>
        <w:rPr>
          <w:rFonts w:eastAsia="Times New Roman" w:cs="Calibri"/>
          <w:b/>
          <w:u w:val="single"/>
          <w:lang w:eastAsia="es-ES"/>
        </w:rPr>
      </w:pPr>
      <w:r w:rsidRPr="00AA0CBA">
        <w:rPr>
          <w:rFonts w:eastAsia="Times New Roman" w:cs="Calibri"/>
          <w:b/>
          <w:u w:val="single"/>
          <w:lang w:eastAsia="es-ES"/>
        </w:rPr>
        <w:t>NUEVOS PRINCIPIOS ACTIVOS/NUEVAS ASOCIACIONES</w:t>
      </w:r>
    </w:p>
    <w:p w:rsidR="00F07002" w:rsidRPr="00BA638E" w:rsidRDefault="00F07002" w:rsidP="00F07002">
      <w:pPr>
        <w:ind w:left="334"/>
        <w:jc w:val="both"/>
        <w:rPr>
          <w:rFonts w:eastAsia="Times New Roman" w:cs="Arial"/>
          <w:b/>
          <w:u w:val="single"/>
          <w:lang w:eastAsia="es-ES"/>
        </w:rPr>
      </w:pPr>
    </w:p>
    <w:p w:rsidR="00F07002" w:rsidRPr="00A8361B" w:rsidRDefault="00F07002" w:rsidP="00AA0CBA">
      <w:pPr>
        <w:pStyle w:val="Prrafodelista"/>
        <w:widowControl w:val="0"/>
        <w:ind w:left="1126"/>
        <w:jc w:val="both"/>
        <w:rPr>
          <w:rFonts w:asciiTheme="minorHAnsi" w:hAnsiTheme="minorHAnsi" w:cs="Arial"/>
          <w:b/>
          <w:u w:val="single"/>
        </w:rPr>
      </w:pPr>
      <w:r w:rsidRPr="00A8361B">
        <w:rPr>
          <w:rFonts w:asciiTheme="minorHAnsi" w:hAnsiTheme="minorHAnsi" w:cstheme="minorHAnsi"/>
          <w:b/>
          <w:u w:val="single"/>
          <w:shd w:val="clear" w:color="auto" w:fill="FFFFFF"/>
        </w:rPr>
        <w:t xml:space="preserve">Cloruro de </w:t>
      </w:r>
      <w:proofErr w:type="spellStart"/>
      <w:r w:rsidRPr="00A8361B">
        <w:rPr>
          <w:rFonts w:asciiTheme="minorHAnsi" w:hAnsiTheme="minorHAnsi" w:cstheme="minorHAnsi"/>
          <w:b/>
          <w:u w:val="single"/>
          <w:shd w:val="clear" w:color="auto" w:fill="FFFFFF"/>
        </w:rPr>
        <w:t>maralixibat</w:t>
      </w:r>
      <w:proofErr w:type="spellEnd"/>
      <w:r w:rsidRPr="00A8361B">
        <w:rPr>
          <w:rFonts w:asciiTheme="minorHAnsi" w:hAnsiTheme="minorHAnsi" w:cstheme="minorHAnsi"/>
          <w:b/>
          <w:u w:val="single"/>
          <w:shd w:val="clear" w:color="auto" w:fill="FFFFFF"/>
        </w:rPr>
        <w:t xml:space="preserve"> </w:t>
      </w:r>
      <w:r w:rsidRPr="00A8361B">
        <w:rPr>
          <w:rFonts w:asciiTheme="minorHAnsi" w:hAnsiTheme="minorHAnsi" w:cs="Arial"/>
          <w:b/>
          <w:u w:val="single"/>
        </w:rPr>
        <w:t>– A05AX04</w:t>
      </w:r>
    </w:p>
    <w:p w:rsidR="00F07002" w:rsidRPr="00A8361B" w:rsidRDefault="00F07002" w:rsidP="00F07002">
      <w:pPr>
        <w:widowControl w:val="0"/>
        <w:ind w:left="142" w:firstLine="207"/>
        <w:jc w:val="both"/>
        <w:rPr>
          <w:rFonts w:ascii="Arial" w:hAnsi="Arial" w:cs="Arial"/>
          <w:b/>
          <w:u w:val="single"/>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69"/>
        <w:gridCol w:w="2942"/>
        <w:gridCol w:w="992"/>
        <w:gridCol w:w="709"/>
        <w:gridCol w:w="708"/>
        <w:gridCol w:w="1276"/>
        <w:gridCol w:w="1134"/>
      </w:tblGrid>
      <w:tr w:rsidR="00A8361B" w:rsidRPr="00A8361B" w:rsidTr="004F0601">
        <w:trPr>
          <w:trHeight w:val="353"/>
        </w:trPr>
        <w:tc>
          <w:tcPr>
            <w:tcW w:w="1169" w:type="dxa"/>
            <w:shd w:val="clear" w:color="auto" w:fill="BFBFBF" w:themeFill="background1" w:themeFillShade="BF"/>
            <w:vAlign w:val="center"/>
          </w:tcPr>
          <w:p w:rsidR="00F07002" w:rsidRPr="00A8361B" w:rsidRDefault="00F07002" w:rsidP="004F0601">
            <w:pPr>
              <w:ind w:left="142" w:firstLine="207"/>
              <w:jc w:val="center"/>
              <w:rPr>
                <w:rFonts w:asciiTheme="minorHAnsi" w:hAnsiTheme="minorHAnsi" w:cs="Arial"/>
                <w:b/>
                <w:sz w:val="20"/>
                <w:szCs w:val="20"/>
              </w:rPr>
            </w:pPr>
            <w:r w:rsidRPr="00A8361B">
              <w:rPr>
                <w:rFonts w:asciiTheme="minorHAnsi" w:hAnsiTheme="minorHAnsi" w:cs="Arial"/>
                <w:b/>
                <w:sz w:val="20"/>
                <w:szCs w:val="20"/>
              </w:rPr>
              <w:t>CN</w:t>
            </w:r>
          </w:p>
        </w:tc>
        <w:tc>
          <w:tcPr>
            <w:tcW w:w="2942" w:type="dxa"/>
            <w:shd w:val="clear" w:color="auto" w:fill="BFBFBF" w:themeFill="background1" w:themeFillShade="BF"/>
            <w:vAlign w:val="center"/>
          </w:tcPr>
          <w:p w:rsidR="00F07002" w:rsidRPr="00A8361B" w:rsidRDefault="00F07002" w:rsidP="004F0601">
            <w:pPr>
              <w:ind w:left="142" w:firstLine="207"/>
              <w:jc w:val="center"/>
              <w:rPr>
                <w:rFonts w:asciiTheme="minorHAnsi" w:hAnsiTheme="minorHAnsi" w:cs="Arial"/>
                <w:b/>
                <w:sz w:val="20"/>
                <w:szCs w:val="20"/>
              </w:rPr>
            </w:pPr>
            <w:r w:rsidRPr="00A8361B">
              <w:rPr>
                <w:rFonts w:asciiTheme="minorHAnsi" w:hAnsiTheme="minorHAnsi" w:cs="Arial"/>
                <w:b/>
                <w:sz w:val="20"/>
                <w:szCs w:val="20"/>
              </w:rPr>
              <w:t>NOMBRE</w:t>
            </w:r>
          </w:p>
        </w:tc>
        <w:tc>
          <w:tcPr>
            <w:tcW w:w="992" w:type="dxa"/>
            <w:shd w:val="clear" w:color="auto" w:fill="BFBFBF" w:themeFill="background1" w:themeFillShade="BF"/>
            <w:vAlign w:val="center"/>
          </w:tcPr>
          <w:p w:rsidR="00F07002" w:rsidRPr="00A8361B" w:rsidRDefault="00F07002" w:rsidP="004F0601">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 xml:space="preserve">DH </w:t>
            </w:r>
          </w:p>
        </w:tc>
        <w:tc>
          <w:tcPr>
            <w:tcW w:w="709" w:type="dxa"/>
            <w:shd w:val="clear" w:color="auto" w:fill="BFBFBF" w:themeFill="background1" w:themeFillShade="BF"/>
            <w:vAlign w:val="center"/>
          </w:tcPr>
          <w:p w:rsidR="00F07002" w:rsidRPr="00A8361B" w:rsidRDefault="00F07002" w:rsidP="004F0601">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UH</w:t>
            </w:r>
          </w:p>
        </w:tc>
        <w:tc>
          <w:tcPr>
            <w:tcW w:w="708" w:type="dxa"/>
            <w:shd w:val="clear" w:color="auto" w:fill="BFBFBF" w:themeFill="background1" w:themeFillShade="BF"/>
            <w:vAlign w:val="center"/>
          </w:tcPr>
          <w:p w:rsidR="00F07002" w:rsidRPr="00A8361B" w:rsidRDefault="00F07002" w:rsidP="004F0601">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SCP</w:t>
            </w:r>
          </w:p>
        </w:tc>
        <w:tc>
          <w:tcPr>
            <w:tcW w:w="1276" w:type="dxa"/>
            <w:shd w:val="clear" w:color="auto" w:fill="BFBFBF" w:themeFill="background1" w:themeFillShade="BF"/>
            <w:vAlign w:val="center"/>
          </w:tcPr>
          <w:p w:rsidR="00F07002" w:rsidRPr="00A8361B" w:rsidRDefault="00F07002" w:rsidP="004F0601">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Biosimilar</w:t>
            </w:r>
          </w:p>
        </w:tc>
        <w:tc>
          <w:tcPr>
            <w:tcW w:w="1134" w:type="dxa"/>
            <w:shd w:val="clear" w:color="auto" w:fill="BFBFBF" w:themeFill="background1" w:themeFillShade="BF"/>
            <w:vAlign w:val="center"/>
          </w:tcPr>
          <w:p w:rsidR="00F07002" w:rsidRPr="00A8361B" w:rsidRDefault="00F07002" w:rsidP="004F0601">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Huérfano</w:t>
            </w:r>
          </w:p>
        </w:tc>
      </w:tr>
      <w:tr w:rsidR="00A8361B" w:rsidRPr="00A8361B" w:rsidTr="004F0601">
        <w:trPr>
          <w:trHeight w:val="415"/>
        </w:trPr>
        <w:tc>
          <w:tcPr>
            <w:tcW w:w="1169" w:type="dxa"/>
            <w:shd w:val="solid" w:color="FFFFFF" w:fill="FFFFFF"/>
            <w:vAlign w:val="center"/>
          </w:tcPr>
          <w:p w:rsidR="00F07002" w:rsidRPr="00A8361B" w:rsidRDefault="00F07002" w:rsidP="004F0601">
            <w:pPr>
              <w:autoSpaceDE w:val="0"/>
              <w:autoSpaceDN w:val="0"/>
              <w:adjustRightInd w:val="0"/>
              <w:ind w:left="142" w:firstLine="207"/>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762407</w:t>
            </w:r>
          </w:p>
        </w:tc>
        <w:tc>
          <w:tcPr>
            <w:tcW w:w="2942" w:type="dxa"/>
            <w:shd w:val="solid" w:color="FFFFFF" w:fill="FFFFFF"/>
            <w:vAlign w:val="center"/>
          </w:tcPr>
          <w:p w:rsidR="00F07002" w:rsidRPr="00A8361B" w:rsidRDefault="00F07002" w:rsidP="004F0601">
            <w:pPr>
              <w:autoSpaceDE w:val="0"/>
              <w:autoSpaceDN w:val="0"/>
              <w:adjustRightInd w:val="0"/>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LIVMARLI 9,5MG/ML 1 FRASCO 30ML SOLUCION ORAL</w:t>
            </w:r>
          </w:p>
        </w:tc>
        <w:tc>
          <w:tcPr>
            <w:tcW w:w="992" w:type="dxa"/>
            <w:shd w:val="solid" w:color="FFFFFF" w:fill="FFFFFF"/>
            <w:vAlign w:val="center"/>
          </w:tcPr>
          <w:p w:rsidR="00F07002" w:rsidRPr="00A8361B" w:rsidRDefault="00F07002" w:rsidP="004F0601">
            <w:pPr>
              <w:ind w:left="-56" w:firstLine="207"/>
              <w:jc w:val="center"/>
              <w:rPr>
                <w:rFonts w:asciiTheme="minorHAnsi" w:hAnsiTheme="minorHAnsi" w:cstheme="minorHAnsi"/>
                <w:sz w:val="20"/>
                <w:szCs w:val="20"/>
              </w:rPr>
            </w:pPr>
          </w:p>
        </w:tc>
        <w:tc>
          <w:tcPr>
            <w:tcW w:w="709" w:type="dxa"/>
            <w:shd w:val="solid" w:color="FFFFFF" w:fill="FFFFFF"/>
            <w:vAlign w:val="center"/>
          </w:tcPr>
          <w:p w:rsidR="00F07002" w:rsidRPr="00A8361B" w:rsidRDefault="00F07002" w:rsidP="004F0601">
            <w:pPr>
              <w:jc w:val="center"/>
              <w:rPr>
                <w:rFonts w:asciiTheme="minorHAnsi" w:hAnsiTheme="minorHAnsi" w:cstheme="minorHAnsi"/>
                <w:sz w:val="20"/>
                <w:szCs w:val="20"/>
              </w:rPr>
            </w:pPr>
            <w:r w:rsidRPr="00A8361B">
              <w:rPr>
                <w:rFonts w:asciiTheme="minorHAnsi" w:hAnsiTheme="minorHAnsi" w:cstheme="minorHAnsi"/>
                <w:sz w:val="20"/>
                <w:szCs w:val="20"/>
              </w:rPr>
              <w:t>√</w:t>
            </w:r>
          </w:p>
        </w:tc>
        <w:tc>
          <w:tcPr>
            <w:tcW w:w="708" w:type="dxa"/>
            <w:shd w:val="solid" w:color="FFFFFF" w:fill="FFFFFF"/>
            <w:vAlign w:val="center"/>
          </w:tcPr>
          <w:p w:rsidR="00F07002" w:rsidRPr="00A8361B" w:rsidRDefault="00F07002" w:rsidP="004F0601">
            <w:pPr>
              <w:ind w:left="142" w:hanging="31"/>
              <w:jc w:val="center"/>
              <w:rPr>
                <w:rFonts w:asciiTheme="minorHAnsi" w:hAnsiTheme="minorHAnsi" w:cstheme="minorHAnsi"/>
                <w:sz w:val="20"/>
                <w:szCs w:val="20"/>
              </w:rPr>
            </w:pPr>
          </w:p>
        </w:tc>
        <w:tc>
          <w:tcPr>
            <w:tcW w:w="1276" w:type="dxa"/>
            <w:shd w:val="solid" w:color="FFFFFF" w:fill="FFFFFF"/>
            <w:vAlign w:val="center"/>
          </w:tcPr>
          <w:p w:rsidR="00F07002" w:rsidRPr="00A8361B" w:rsidRDefault="00F07002" w:rsidP="004F0601">
            <w:pPr>
              <w:ind w:left="142" w:firstLine="207"/>
              <w:jc w:val="center"/>
              <w:rPr>
                <w:rFonts w:asciiTheme="minorHAnsi" w:hAnsiTheme="minorHAnsi" w:cstheme="minorHAnsi"/>
                <w:sz w:val="20"/>
                <w:szCs w:val="20"/>
              </w:rPr>
            </w:pPr>
          </w:p>
        </w:tc>
        <w:tc>
          <w:tcPr>
            <w:tcW w:w="1134" w:type="dxa"/>
            <w:shd w:val="solid" w:color="FFFFFF" w:fill="FFFFFF"/>
            <w:vAlign w:val="center"/>
          </w:tcPr>
          <w:p w:rsidR="00F07002" w:rsidRPr="00A8361B" w:rsidRDefault="00F07002" w:rsidP="004F0601">
            <w:pPr>
              <w:ind w:left="142" w:hanging="175"/>
              <w:jc w:val="center"/>
              <w:rPr>
                <w:rFonts w:asciiTheme="minorHAnsi" w:hAnsiTheme="minorHAnsi" w:cstheme="minorHAnsi"/>
                <w:sz w:val="20"/>
                <w:szCs w:val="20"/>
              </w:rPr>
            </w:pPr>
            <w:r w:rsidRPr="00A8361B">
              <w:rPr>
                <w:rFonts w:asciiTheme="minorHAnsi" w:hAnsiTheme="minorHAnsi" w:cstheme="minorHAnsi"/>
                <w:sz w:val="20"/>
                <w:szCs w:val="20"/>
              </w:rPr>
              <w:t>√</w:t>
            </w:r>
          </w:p>
        </w:tc>
      </w:tr>
    </w:tbl>
    <w:p w:rsidR="00F07002" w:rsidRPr="00A8361B" w:rsidRDefault="00F07002" w:rsidP="00F07002">
      <w:pPr>
        <w:autoSpaceDE w:val="0"/>
        <w:autoSpaceDN w:val="0"/>
        <w:adjustRightInd w:val="0"/>
        <w:ind w:left="142" w:firstLine="207"/>
        <w:jc w:val="both"/>
        <w:rPr>
          <w:rFonts w:asciiTheme="minorHAnsi" w:hAnsiTheme="minorHAnsi" w:cs="Arial"/>
        </w:rPr>
      </w:pPr>
    </w:p>
    <w:p w:rsidR="00F07002" w:rsidRPr="00A8361B" w:rsidRDefault="00F07002" w:rsidP="00F07002">
      <w:pPr>
        <w:pStyle w:val="Prrafodelista"/>
        <w:numPr>
          <w:ilvl w:val="0"/>
          <w:numId w:val="6"/>
        </w:numPr>
        <w:autoSpaceDE w:val="0"/>
        <w:autoSpaceDN w:val="0"/>
        <w:adjustRightInd w:val="0"/>
        <w:ind w:left="1560"/>
        <w:jc w:val="both"/>
        <w:rPr>
          <w:rFonts w:asciiTheme="minorHAnsi" w:eastAsiaTheme="minorHAnsi" w:hAnsiTheme="minorHAnsi" w:cstheme="minorHAnsi"/>
        </w:rPr>
      </w:pPr>
      <w:r w:rsidRPr="00A8361B">
        <w:rPr>
          <w:rFonts w:asciiTheme="minorHAnsi" w:eastAsiaTheme="minorHAnsi" w:hAnsiTheme="minorHAnsi" w:cstheme="minorHAnsi"/>
          <w:b/>
        </w:rPr>
        <w:t>Indicación financiada:</w:t>
      </w:r>
      <w:r w:rsidRPr="00A8361B">
        <w:rPr>
          <w:rFonts w:ascii="ArialMT" w:eastAsiaTheme="minorHAnsi" w:hAnsi="ArialMT" w:cs="ArialMT"/>
          <w:sz w:val="20"/>
          <w:szCs w:val="20"/>
        </w:rPr>
        <w:t xml:space="preserve"> </w:t>
      </w:r>
      <w:r w:rsidRPr="00A8361B">
        <w:rPr>
          <w:rFonts w:asciiTheme="minorHAnsi" w:eastAsiaTheme="minorHAnsi" w:hAnsiTheme="minorHAnsi" w:cstheme="minorHAnsi"/>
        </w:rPr>
        <w:t xml:space="preserve">para el tratamiento del prurito </w:t>
      </w:r>
      <w:proofErr w:type="spellStart"/>
      <w:r w:rsidRPr="00A8361B">
        <w:rPr>
          <w:rFonts w:asciiTheme="minorHAnsi" w:eastAsiaTheme="minorHAnsi" w:hAnsiTheme="minorHAnsi" w:cstheme="minorHAnsi"/>
        </w:rPr>
        <w:t>colestático</w:t>
      </w:r>
      <w:proofErr w:type="spellEnd"/>
      <w:r w:rsidRPr="00A8361B">
        <w:rPr>
          <w:rFonts w:asciiTheme="minorHAnsi" w:eastAsiaTheme="minorHAnsi" w:hAnsiTheme="minorHAnsi" w:cstheme="minorHAnsi"/>
        </w:rPr>
        <w:t xml:space="preserve"> en pacientes con síndrome de </w:t>
      </w:r>
      <w:proofErr w:type="spellStart"/>
      <w:r w:rsidRPr="00A8361B">
        <w:rPr>
          <w:rFonts w:asciiTheme="minorHAnsi" w:eastAsiaTheme="minorHAnsi" w:hAnsiTheme="minorHAnsi" w:cstheme="minorHAnsi"/>
        </w:rPr>
        <w:t>Alagille</w:t>
      </w:r>
      <w:proofErr w:type="spellEnd"/>
      <w:r w:rsidRPr="00A8361B">
        <w:rPr>
          <w:rFonts w:asciiTheme="minorHAnsi" w:eastAsiaTheme="minorHAnsi" w:hAnsiTheme="minorHAnsi" w:cstheme="minorHAnsi"/>
        </w:rPr>
        <w:t xml:space="preserve"> (SALG) de 2 meses de edad y mayores.</w:t>
      </w:r>
    </w:p>
    <w:p w:rsidR="00AB6BCD" w:rsidRPr="00A8361B" w:rsidRDefault="00F07002" w:rsidP="00F07002">
      <w:pPr>
        <w:pStyle w:val="Prrafodelista"/>
        <w:numPr>
          <w:ilvl w:val="0"/>
          <w:numId w:val="6"/>
        </w:numPr>
        <w:autoSpaceDE w:val="0"/>
        <w:autoSpaceDN w:val="0"/>
        <w:adjustRightInd w:val="0"/>
        <w:ind w:left="1560"/>
        <w:jc w:val="both"/>
        <w:rPr>
          <w:rFonts w:asciiTheme="minorHAnsi" w:hAnsiTheme="minorHAnsi" w:cstheme="minorHAnsi"/>
          <w:b/>
          <w:u w:val="single"/>
        </w:rPr>
      </w:pPr>
      <w:r w:rsidRPr="00A8361B">
        <w:rPr>
          <w:rFonts w:asciiTheme="minorHAnsi" w:eastAsiaTheme="minorHAnsi" w:hAnsiTheme="minorHAnsi" w:cstheme="minorHAnsi"/>
        </w:rPr>
        <w:t xml:space="preserve">Los pacientes </w:t>
      </w:r>
      <w:r w:rsidRPr="00A8361B">
        <w:rPr>
          <w:rFonts w:asciiTheme="minorHAnsi" w:eastAsiaTheme="minorHAnsi" w:hAnsiTheme="minorHAnsi" w:cstheme="minorHAnsi"/>
          <w:b/>
          <w:bCs/>
        </w:rPr>
        <w:t xml:space="preserve">deberán cumplir </w:t>
      </w:r>
      <w:r w:rsidRPr="00A8361B">
        <w:rPr>
          <w:rFonts w:asciiTheme="minorHAnsi" w:eastAsiaTheme="minorHAnsi" w:hAnsiTheme="minorHAnsi" w:cstheme="minorHAnsi"/>
        </w:rPr>
        <w:t xml:space="preserve">los siguientes requisitos: Pacientes con diagnóstico confirmado de síndrome de </w:t>
      </w:r>
      <w:proofErr w:type="spellStart"/>
      <w:r w:rsidRPr="00A8361B">
        <w:rPr>
          <w:rFonts w:asciiTheme="minorHAnsi" w:eastAsiaTheme="minorHAnsi" w:hAnsiTheme="minorHAnsi" w:cstheme="minorHAnsi"/>
        </w:rPr>
        <w:t>Alagille</w:t>
      </w:r>
      <w:proofErr w:type="spellEnd"/>
      <w:r w:rsidRPr="00A8361B">
        <w:rPr>
          <w:rFonts w:asciiTheme="minorHAnsi" w:eastAsiaTheme="minorHAnsi" w:hAnsiTheme="minorHAnsi" w:cstheme="minorHAnsi"/>
        </w:rPr>
        <w:t xml:space="preserve"> que presenten prurito </w:t>
      </w:r>
      <w:proofErr w:type="spellStart"/>
      <w:r w:rsidRPr="00A8361B">
        <w:rPr>
          <w:rFonts w:asciiTheme="minorHAnsi" w:eastAsiaTheme="minorHAnsi" w:hAnsiTheme="minorHAnsi" w:cstheme="minorHAnsi"/>
        </w:rPr>
        <w:t>colestásico</w:t>
      </w:r>
      <w:proofErr w:type="spellEnd"/>
      <w:r w:rsidRPr="00A8361B">
        <w:rPr>
          <w:rFonts w:asciiTheme="minorHAnsi" w:eastAsiaTheme="minorHAnsi" w:hAnsiTheme="minorHAnsi" w:cstheme="minorHAnsi"/>
        </w:rPr>
        <w:t xml:space="preserve"> con una puntuación de al menos 2 puntos en la escala </w:t>
      </w:r>
      <w:proofErr w:type="spellStart"/>
      <w:r w:rsidRPr="00A8361B">
        <w:rPr>
          <w:rFonts w:asciiTheme="minorHAnsi" w:eastAsiaTheme="minorHAnsi" w:hAnsiTheme="minorHAnsi" w:cstheme="minorHAnsi"/>
        </w:rPr>
        <w:t>ItchRO</w:t>
      </w:r>
      <w:proofErr w:type="spellEnd"/>
      <w:r w:rsidRPr="00A8361B">
        <w:rPr>
          <w:rFonts w:asciiTheme="minorHAnsi" w:eastAsiaTheme="minorHAnsi" w:hAnsiTheme="minorHAnsi" w:cstheme="minorHAnsi"/>
        </w:rPr>
        <w:t>(</w:t>
      </w:r>
      <w:proofErr w:type="spellStart"/>
      <w:r w:rsidRPr="00A8361B">
        <w:rPr>
          <w:rFonts w:asciiTheme="minorHAnsi" w:eastAsiaTheme="minorHAnsi" w:hAnsiTheme="minorHAnsi" w:cstheme="minorHAnsi"/>
        </w:rPr>
        <w:t>Obs</w:t>
      </w:r>
      <w:proofErr w:type="spellEnd"/>
      <w:r w:rsidRPr="00A8361B">
        <w:rPr>
          <w:rFonts w:asciiTheme="minorHAnsi" w:eastAsiaTheme="minorHAnsi" w:hAnsiTheme="minorHAnsi" w:cstheme="minorHAnsi"/>
        </w:rPr>
        <w:t>), equivalente a prurito moderado.</w:t>
      </w:r>
    </w:p>
    <w:p w:rsidR="00F07002" w:rsidRPr="00A8361B" w:rsidRDefault="00F07002" w:rsidP="001248A5">
      <w:pPr>
        <w:pStyle w:val="Prrafodelista"/>
        <w:numPr>
          <w:ilvl w:val="0"/>
          <w:numId w:val="6"/>
        </w:numPr>
        <w:autoSpaceDE w:val="0"/>
        <w:autoSpaceDN w:val="0"/>
        <w:adjustRightInd w:val="0"/>
        <w:ind w:left="1560"/>
        <w:jc w:val="both"/>
        <w:rPr>
          <w:rFonts w:asciiTheme="minorHAnsi" w:eastAsiaTheme="minorHAnsi" w:hAnsiTheme="minorHAnsi" w:cstheme="minorHAnsi"/>
        </w:rPr>
      </w:pPr>
      <w:r w:rsidRPr="00A8361B">
        <w:rPr>
          <w:rFonts w:asciiTheme="minorHAnsi" w:eastAsiaTheme="minorHAnsi" w:hAnsiTheme="minorHAnsi" w:cstheme="minorHAnsi"/>
          <w:b/>
          <w:bCs/>
          <w:i/>
          <w:iCs/>
        </w:rPr>
        <w:t xml:space="preserve">Fijar un coste máximo por paciente </w:t>
      </w:r>
      <w:r w:rsidRPr="00A8361B">
        <w:rPr>
          <w:rFonts w:asciiTheme="minorHAnsi" w:eastAsiaTheme="minorHAnsi" w:hAnsiTheme="minorHAnsi" w:cstheme="minorHAnsi"/>
        </w:rPr>
        <w:t>equivalente 121.000 €/año. En el caso de superarse éste, la empresa se hará cargo de los costes totales derivados del suministro del medicamento hasta completar el año de tratamiento.</w:t>
      </w:r>
    </w:p>
    <w:p w:rsidR="00F07002" w:rsidRPr="00A8361B" w:rsidRDefault="00F07002" w:rsidP="001248A5">
      <w:pPr>
        <w:pStyle w:val="Prrafodelista"/>
        <w:numPr>
          <w:ilvl w:val="0"/>
          <w:numId w:val="6"/>
        </w:numPr>
        <w:autoSpaceDE w:val="0"/>
        <w:autoSpaceDN w:val="0"/>
        <w:adjustRightInd w:val="0"/>
        <w:ind w:left="1560"/>
        <w:jc w:val="both"/>
        <w:rPr>
          <w:rFonts w:asciiTheme="minorHAnsi" w:eastAsiaTheme="minorHAnsi" w:hAnsiTheme="minorHAnsi" w:cstheme="minorHAnsi"/>
        </w:rPr>
      </w:pPr>
      <w:r w:rsidRPr="00A8361B">
        <w:rPr>
          <w:rFonts w:asciiTheme="minorHAnsi" w:eastAsiaTheme="minorHAnsi" w:hAnsiTheme="minorHAnsi" w:cstheme="minorHAnsi"/>
        </w:rPr>
        <w:t xml:space="preserve">Criterio de parada a los 3 meses de tratamiento, para los pacientes que no sean respondedores al mismo. Se considerará paciente respondedor el que a los 3 meses de tratamiento presenta una reducción de, al menos, 1 punto en la escala </w:t>
      </w:r>
      <w:proofErr w:type="spellStart"/>
      <w:r w:rsidRPr="00A8361B">
        <w:rPr>
          <w:rFonts w:asciiTheme="minorHAnsi" w:eastAsiaTheme="minorHAnsi" w:hAnsiTheme="minorHAnsi" w:cstheme="minorHAnsi"/>
        </w:rPr>
        <w:t>Itch</w:t>
      </w:r>
      <w:proofErr w:type="spellEnd"/>
      <w:r w:rsidRPr="00A8361B">
        <w:rPr>
          <w:rFonts w:asciiTheme="minorHAnsi" w:eastAsiaTheme="minorHAnsi" w:hAnsiTheme="minorHAnsi" w:cstheme="minorHAnsi"/>
        </w:rPr>
        <w:t>-RO [</w:t>
      </w:r>
      <w:proofErr w:type="spellStart"/>
      <w:r w:rsidRPr="00A8361B">
        <w:rPr>
          <w:rFonts w:asciiTheme="minorHAnsi" w:eastAsiaTheme="minorHAnsi" w:hAnsiTheme="minorHAnsi" w:cstheme="minorHAnsi"/>
        </w:rPr>
        <w:t>Obs</w:t>
      </w:r>
      <w:proofErr w:type="spellEnd"/>
      <w:r w:rsidRPr="00A8361B">
        <w:rPr>
          <w:rFonts w:asciiTheme="minorHAnsi" w:eastAsiaTheme="minorHAnsi" w:hAnsiTheme="minorHAnsi" w:cstheme="minorHAnsi"/>
        </w:rPr>
        <w:t>] junto con una reducción del 30% en ABS desde el valor basal.</w:t>
      </w:r>
    </w:p>
    <w:p w:rsidR="00F07002" w:rsidRPr="00A8361B" w:rsidRDefault="00F07002" w:rsidP="001248A5">
      <w:pPr>
        <w:pStyle w:val="Prrafodelista"/>
        <w:numPr>
          <w:ilvl w:val="0"/>
          <w:numId w:val="6"/>
        </w:numPr>
        <w:autoSpaceDE w:val="0"/>
        <w:autoSpaceDN w:val="0"/>
        <w:adjustRightInd w:val="0"/>
        <w:ind w:left="1560"/>
        <w:jc w:val="both"/>
        <w:rPr>
          <w:rFonts w:asciiTheme="minorHAnsi" w:eastAsiaTheme="minorHAnsi" w:hAnsiTheme="minorHAnsi" w:cstheme="minorHAnsi"/>
        </w:rPr>
      </w:pPr>
      <w:r w:rsidRPr="00A8361B">
        <w:rPr>
          <w:rFonts w:asciiTheme="minorHAnsi" w:eastAsiaTheme="minorHAnsi" w:hAnsiTheme="minorHAnsi" w:cstheme="minorHAnsi"/>
          <w:b/>
          <w:bCs/>
          <w:i/>
          <w:iCs/>
        </w:rPr>
        <w:t>Abono de tratamiento de los 3 primeros meses de tratamiento en pacientes no respondedores</w:t>
      </w:r>
      <w:r w:rsidRPr="00A8361B">
        <w:rPr>
          <w:rFonts w:asciiTheme="minorHAnsi" w:eastAsiaTheme="minorHAnsi" w:hAnsiTheme="minorHAnsi" w:cstheme="minorHAnsi"/>
        </w:rPr>
        <w:t>: El laboratorio abonará el coste de tratamiento de los pacientes que, tras 3 meses de tratamiento, no presenten respuesta, según los criterios definidos en el punto anterior.</w:t>
      </w:r>
    </w:p>
    <w:p w:rsidR="00F07002" w:rsidRPr="00A8361B" w:rsidRDefault="00F07002" w:rsidP="001248A5">
      <w:pPr>
        <w:pStyle w:val="Prrafodelista"/>
        <w:numPr>
          <w:ilvl w:val="0"/>
          <w:numId w:val="6"/>
        </w:numPr>
        <w:autoSpaceDE w:val="0"/>
        <w:autoSpaceDN w:val="0"/>
        <w:adjustRightInd w:val="0"/>
        <w:ind w:left="1560"/>
        <w:jc w:val="both"/>
        <w:rPr>
          <w:rFonts w:asciiTheme="minorHAnsi" w:eastAsiaTheme="minorHAnsi" w:hAnsiTheme="minorHAnsi" w:cstheme="minorHAnsi"/>
        </w:rPr>
      </w:pPr>
      <w:r w:rsidRPr="00A8361B">
        <w:rPr>
          <w:rFonts w:asciiTheme="minorHAnsi" w:eastAsiaTheme="minorHAnsi" w:hAnsiTheme="minorHAnsi" w:cstheme="minorHAnsi"/>
        </w:rPr>
        <w:lastRenderedPageBreak/>
        <w:t xml:space="preserve">En el ámbito del SNS, se llevará a cabo por parte de los profesionales sanitarios, un </w:t>
      </w:r>
      <w:r w:rsidRPr="00A8361B">
        <w:rPr>
          <w:rFonts w:asciiTheme="minorHAnsi" w:eastAsiaTheme="minorHAnsi" w:hAnsiTheme="minorHAnsi" w:cstheme="minorHAnsi"/>
          <w:b/>
          <w:bCs/>
        </w:rPr>
        <w:t xml:space="preserve">registro de pacientes en </w:t>
      </w:r>
      <w:proofErr w:type="spellStart"/>
      <w:r w:rsidRPr="00A8361B">
        <w:rPr>
          <w:rFonts w:asciiTheme="minorHAnsi" w:eastAsiaTheme="minorHAnsi" w:hAnsiTheme="minorHAnsi" w:cstheme="minorHAnsi"/>
          <w:b/>
          <w:bCs/>
        </w:rPr>
        <w:t>Valtermed</w:t>
      </w:r>
      <w:proofErr w:type="spellEnd"/>
      <w:r w:rsidRPr="00A8361B">
        <w:rPr>
          <w:rFonts w:asciiTheme="minorHAnsi" w:eastAsiaTheme="minorHAnsi" w:hAnsiTheme="minorHAnsi" w:cstheme="minorHAnsi"/>
        </w:rPr>
        <w:t>, con el fin de recoger los resultados del tratamiento en la práctica real a largo plazo.</w:t>
      </w:r>
    </w:p>
    <w:p w:rsidR="00F07002" w:rsidRPr="00A8361B" w:rsidRDefault="00F07002" w:rsidP="001248A5">
      <w:pPr>
        <w:pStyle w:val="Prrafodelista"/>
        <w:numPr>
          <w:ilvl w:val="0"/>
          <w:numId w:val="6"/>
        </w:numPr>
        <w:autoSpaceDE w:val="0"/>
        <w:autoSpaceDN w:val="0"/>
        <w:adjustRightInd w:val="0"/>
        <w:ind w:left="1560"/>
        <w:jc w:val="both"/>
        <w:rPr>
          <w:rFonts w:asciiTheme="minorHAnsi" w:eastAsiaTheme="minorHAnsi" w:hAnsiTheme="minorHAnsi" w:cstheme="minorHAnsi"/>
        </w:rPr>
      </w:pPr>
      <w:r w:rsidRPr="00A8361B">
        <w:rPr>
          <w:rFonts w:asciiTheme="minorHAnsi" w:eastAsiaTheme="minorHAnsi" w:hAnsiTheme="minorHAnsi" w:cstheme="minorHAnsi"/>
          <w:b/>
          <w:bCs/>
          <w:i/>
          <w:iCs/>
        </w:rPr>
        <w:t xml:space="preserve">Establecer un techo máximo de gasto anual </w:t>
      </w:r>
      <w:r w:rsidRPr="00A8361B">
        <w:rPr>
          <w:rFonts w:asciiTheme="minorHAnsi" w:eastAsiaTheme="minorHAnsi" w:hAnsiTheme="minorHAnsi" w:cstheme="minorHAnsi"/>
        </w:rPr>
        <w:t>(calculado a PVL) de 3.750.000 € (equivalente a 136 envases) para el 1er año, de 5.000.000 € (equivalente a 181 envases) para el 2º año y de 5.500.000 € (equivalente a 199 envases) para el 3er año, para todo el Sistema Nacional de Salud, a contar desde su fecha de alta en el</w:t>
      </w:r>
      <w:r w:rsidR="001248A5" w:rsidRPr="00A8361B">
        <w:rPr>
          <w:rFonts w:asciiTheme="minorHAnsi" w:eastAsiaTheme="minorHAnsi" w:hAnsiTheme="minorHAnsi" w:cstheme="minorHAnsi"/>
        </w:rPr>
        <w:t xml:space="preserve"> </w:t>
      </w:r>
      <w:r w:rsidRPr="00A8361B">
        <w:rPr>
          <w:rFonts w:asciiTheme="minorHAnsi" w:eastAsiaTheme="minorHAnsi" w:hAnsiTheme="minorHAnsi" w:cstheme="minorHAnsi"/>
        </w:rPr>
        <w:t>Nomenclátor de facturación del SNS y su puesta en el mercado. En el caso de superarse el gasto máximo fijado anualmente, la empresa suministrará este medicamento sin coste para el Sistema Nacional de Salud. Si para el cumplimiento de esta cláusula se opta por la entrega de envases a coste 0, estos envases se contabilizarán en el periodo anual correspondiente al pedido de cada envase.</w:t>
      </w:r>
    </w:p>
    <w:p w:rsidR="00F07002" w:rsidRPr="00A8361B" w:rsidRDefault="00F07002" w:rsidP="001248A5">
      <w:pPr>
        <w:pStyle w:val="Prrafodelista"/>
        <w:numPr>
          <w:ilvl w:val="0"/>
          <w:numId w:val="6"/>
        </w:numPr>
        <w:autoSpaceDE w:val="0"/>
        <w:autoSpaceDN w:val="0"/>
        <w:adjustRightInd w:val="0"/>
        <w:ind w:left="1560"/>
        <w:jc w:val="both"/>
        <w:rPr>
          <w:rFonts w:asciiTheme="minorHAnsi" w:eastAsiaTheme="minorHAnsi" w:hAnsiTheme="minorHAnsi" w:cstheme="minorHAnsi"/>
        </w:rPr>
      </w:pPr>
      <w:r w:rsidRPr="00A8361B">
        <w:rPr>
          <w:rFonts w:asciiTheme="minorHAnsi" w:eastAsiaTheme="minorHAnsi" w:hAnsiTheme="minorHAnsi" w:cstheme="minorHAnsi"/>
          <w:b/>
          <w:bCs/>
          <w:i/>
          <w:iCs/>
        </w:rPr>
        <w:t xml:space="preserve">El seguimiento de los suministros/ventas y del gasto </w:t>
      </w:r>
      <w:r w:rsidRPr="00A8361B">
        <w:rPr>
          <w:rFonts w:asciiTheme="minorHAnsi" w:eastAsiaTheme="minorHAnsi" w:hAnsiTheme="minorHAnsi" w:cstheme="minorHAnsi"/>
        </w:rPr>
        <w:t>que se vaya produciendo se efectuará a través de un Comité de Seguimiento que se constituirá con la participación paritaria de la Dirección General de Cartera Común de Servicios del SNS y Farmacia, las administraciones sanitarias de las comunidades autónomas que se considere oportunas y el laboratorio ofertante/suministrador.</w:t>
      </w:r>
    </w:p>
    <w:p w:rsidR="007951BB" w:rsidRPr="00A8361B" w:rsidRDefault="00F07002" w:rsidP="004F0601">
      <w:pPr>
        <w:pStyle w:val="Prrafodelista"/>
        <w:numPr>
          <w:ilvl w:val="0"/>
          <w:numId w:val="6"/>
        </w:numPr>
        <w:autoSpaceDE w:val="0"/>
        <w:autoSpaceDN w:val="0"/>
        <w:adjustRightInd w:val="0"/>
        <w:ind w:left="1560"/>
        <w:jc w:val="both"/>
        <w:rPr>
          <w:rFonts w:asciiTheme="minorHAnsi" w:hAnsiTheme="minorHAnsi" w:cstheme="minorHAnsi"/>
          <w:b/>
          <w:u w:val="single"/>
        </w:rPr>
      </w:pPr>
      <w:r w:rsidRPr="00A8361B">
        <w:rPr>
          <w:rFonts w:asciiTheme="minorHAnsi" w:eastAsiaTheme="minorHAnsi" w:hAnsiTheme="minorHAnsi" w:cstheme="minorHAnsi"/>
          <w:b/>
          <w:bCs/>
          <w:i/>
          <w:iCs/>
        </w:rPr>
        <w:t>Revisión de los precios ahora fijados una vez finalizado el techo de gasto a los tres años</w:t>
      </w:r>
      <w:r w:rsidRPr="00A8361B">
        <w:rPr>
          <w:rFonts w:asciiTheme="minorHAnsi" w:eastAsiaTheme="minorHAnsi" w:hAnsiTheme="minorHAnsi" w:cstheme="minorHAnsi"/>
        </w:rPr>
        <w:t xml:space="preserve">. El precio por envase se ajustará en función del número de envases suministrados en el tercer año siempre que se supere dicho techo. </w:t>
      </w:r>
    </w:p>
    <w:p w:rsidR="00F07002" w:rsidRPr="00A8361B" w:rsidRDefault="00F07002" w:rsidP="004F0601">
      <w:pPr>
        <w:pStyle w:val="Prrafodelista"/>
        <w:numPr>
          <w:ilvl w:val="0"/>
          <w:numId w:val="6"/>
        </w:numPr>
        <w:autoSpaceDE w:val="0"/>
        <w:autoSpaceDN w:val="0"/>
        <w:adjustRightInd w:val="0"/>
        <w:ind w:left="1560"/>
        <w:jc w:val="both"/>
        <w:rPr>
          <w:rFonts w:asciiTheme="minorHAnsi" w:hAnsiTheme="minorHAnsi" w:cstheme="minorHAnsi"/>
          <w:b/>
          <w:u w:val="single"/>
        </w:rPr>
      </w:pPr>
      <w:r w:rsidRPr="00A8361B">
        <w:rPr>
          <w:rFonts w:asciiTheme="minorHAnsi" w:eastAsiaTheme="minorHAnsi" w:hAnsiTheme="minorHAnsi" w:cstheme="minorHAnsi"/>
        </w:rPr>
        <w:t>Las unidades que se suministren después de finalizar el periodo anual que ocasiona la revisión, y antes de que entre en vigor el nuevo precio, se facturarán al PVL revisado por envase, produciéndose la devolución que corresponda.</w:t>
      </w:r>
    </w:p>
    <w:p w:rsidR="004D5838" w:rsidRPr="00A8361B" w:rsidRDefault="004D5838" w:rsidP="004D5838">
      <w:pPr>
        <w:autoSpaceDE w:val="0"/>
        <w:autoSpaceDN w:val="0"/>
        <w:adjustRightInd w:val="0"/>
        <w:ind w:left="1200"/>
        <w:jc w:val="both"/>
        <w:rPr>
          <w:rFonts w:asciiTheme="minorHAnsi" w:hAnsiTheme="minorHAnsi" w:cstheme="minorHAnsi"/>
          <w:b/>
          <w:u w:val="single"/>
        </w:rPr>
      </w:pPr>
    </w:p>
    <w:p w:rsidR="004D5838" w:rsidRPr="00A8361B" w:rsidRDefault="004D5838" w:rsidP="004D5838">
      <w:pPr>
        <w:pStyle w:val="Prrafodelista"/>
        <w:widowControl w:val="0"/>
        <w:numPr>
          <w:ilvl w:val="1"/>
          <w:numId w:val="15"/>
        </w:numPr>
        <w:ind w:left="1134"/>
        <w:jc w:val="both"/>
        <w:rPr>
          <w:rFonts w:asciiTheme="minorHAnsi" w:hAnsiTheme="minorHAnsi" w:cs="Arial"/>
          <w:b/>
          <w:u w:val="single"/>
        </w:rPr>
      </w:pPr>
      <w:proofErr w:type="spellStart"/>
      <w:r w:rsidRPr="00A8361B">
        <w:rPr>
          <w:rFonts w:asciiTheme="minorHAnsi" w:hAnsiTheme="minorHAnsi" w:cstheme="minorHAnsi"/>
          <w:b/>
          <w:u w:val="single"/>
          <w:shd w:val="clear" w:color="auto" w:fill="FFFFFF"/>
        </w:rPr>
        <w:t>Eravaciclina</w:t>
      </w:r>
      <w:proofErr w:type="spellEnd"/>
      <w:r w:rsidRPr="00A8361B">
        <w:rPr>
          <w:rFonts w:asciiTheme="minorHAnsi" w:hAnsiTheme="minorHAnsi" w:cstheme="minorHAnsi"/>
          <w:b/>
          <w:u w:val="single"/>
          <w:shd w:val="clear" w:color="auto" w:fill="FFFFFF"/>
        </w:rPr>
        <w:t xml:space="preserve"> </w:t>
      </w:r>
      <w:r w:rsidRPr="00A8361B">
        <w:rPr>
          <w:rFonts w:asciiTheme="minorHAnsi" w:hAnsiTheme="minorHAnsi" w:cs="Arial"/>
          <w:b/>
          <w:u w:val="single"/>
        </w:rPr>
        <w:t>– J01AA13</w:t>
      </w:r>
    </w:p>
    <w:p w:rsidR="004D5838" w:rsidRPr="00A8361B" w:rsidRDefault="004D5838" w:rsidP="004D5838">
      <w:pPr>
        <w:widowControl w:val="0"/>
        <w:ind w:left="142" w:firstLine="207"/>
        <w:jc w:val="both"/>
        <w:rPr>
          <w:rFonts w:ascii="Arial" w:hAnsi="Arial" w:cs="Arial"/>
          <w:b/>
          <w:u w:val="single"/>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69"/>
        <w:gridCol w:w="3083"/>
        <w:gridCol w:w="851"/>
        <w:gridCol w:w="709"/>
        <w:gridCol w:w="708"/>
        <w:gridCol w:w="1276"/>
        <w:gridCol w:w="1134"/>
      </w:tblGrid>
      <w:tr w:rsidR="00A8361B" w:rsidRPr="00A8361B" w:rsidTr="001D40C2">
        <w:trPr>
          <w:trHeight w:val="353"/>
        </w:trPr>
        <w:tc>
          <w:tcPr>
            <w:tcW w:w="1169" w:type="dxa"/>
            <w:shd w:val="clear" w:color="auto" w:fill="BFBFBF" w:themeFill="background1" w:themeFillShade="BF"/>
            <w:vAlign w:val="center"/>
          </w:tcPr>
          <w:p w:rsidR="004D5838" w:rsidRPr="00A8361B" w:rsidRDefault="004D5838" w:rsidP="00C01C3D">
            <w:pPr>
              <w:ind w:left="142" w:firstLine="207"/>
              <w:jc w:val="center"/>
              <w:rPr>
                <w:rFonts w:asciiTheme="minorHAnsi" w:hAnsiTheme="minorHAnsi" w:cs="Arial"/>
                <w:b/>
                <w:sz w:val="20"/>
                <w:szCs w:val="20"/>
              </w:rPr>
            </w:pPr>
            <w:r w:rsidRPr="00A8361B">
              <w:rPr>
                <w:rFonts w:asciiTheme="minorHAnsi" w:hAnsiTheme="minorHAnsi" w:cs="Arial"/>
                <w:b/>
                <w:sz w:val="20"/>
                <w:szCs w:val="20"/>
              </w:rPr>
              <w:t>CN</w:t>
            </w:r>
          </w:p>
        </w:tc>
        <w:tc>
          <w:tcPr>
            <w:tcW w:w="3083" w:type="dxa"/>
            <w:shd w:val="clear" w:color="auto" w:fill="BFBFBF" w:themeFill="background1" w:themeFillShade="BF"/>
            <w:vAlign w:val="center"/>
          </w:tcPr>
          <w:p w:rsidR="004D5838" w:rsidRPr="00A8361B" w:rsidRDefault="004D5838" w:rsidP="00C01C3D">
            <w:pPr>
              <w:ind w:left="142" w:firstLine="207"/>
              <w:jc w:val="center"/>
              <w:rPr>
                <w:rFonts w:asciiTheme="minorHAnsi" w:hAnsiTheme="minorHAnsi" w:cs="Arial"/>
                <w:b/>
                <w:sz w:val="20"/>
                <w:szCs w:val="20"/>
              </w:rPr>
            </w:pPr>
            <w:r w:rsidRPr="00A8361B">
              <w:rPr>
                <w:rFonts w:asciiTheme="minorHAnsi" w:hAnsiTheme="minorHAnsi" w:cs="Arial"/>
                <w:b/>
                <w:sz w:val="20"/>
                <w:szCs w:val="20"/>
              </w:rPr>
              <w:t>NOMBRE</w:t>
            </w:r>
          </w:p>
        </w:tc>
        <w:tc>
          <w:tcPr>
            <w:tcW w:w="851" w:type="dxa"/>
            <w:shd w:val="clear" w:color="auto" w:fill="BFBFBF" w:themeFill="background1" w:themeFillShade="BF"/>
            <w:vAlign w:val="center"/>
          </w:tcPr>
          <w:p w:rsidR="004D5838" w:rsidRPr="00A8361B" w:rsidRDefault="004D5838"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 xml:space="preserve">DH </w:t>
            </w:r>
          </w:p>
        </w:tc>
        <w:tc>
          <w:tcPr>
            <w:tcW w:w="709" w:type="dxa"/>
            <w:shd w:val="clear" w:color="auto" w:fill="BFBFBF" w:themeFill="background1" w:themeFillShade="BF"/>
            <w:vAlign w:val="center"/>
          </w:tcPr>
          <w:p w:rsidR="004D5838" w:rsidRPr="00A8361B" w:rsidRDefault="004D5838"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UH</w:t>
            </w:r>
          </w:p>
        </w:tc>
        <w:tc>
          <w:tcPr>
            <w:tcW w:w="708" w:type="dxa"/>
            <w:shd w:val="clear" w:color="auto" w:fill="BFBFBF" w:themeFill="background1" w:themeFillShade="BF"/>
            <w:vAlign w:val="center"/>
          </w:tcPr>
          <w:p w:rsidR="004D5838" w:rsidRPr="00A8361B" w:rsidRDefault="004D5838"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SCP</w:t>
            </w:r>
          </w:p>
        </w:tc>
        <w:tc>
          <w:tcPr>
            <w:tcW w:w="1276" w:type="dxa"/>
            <w:shd w:val="clear" w:color="auto" w:fill="BFBFBF" w:themeFill="background1" w:themeFillShade="BF"/>
            <w:vAlign w:val="center"/>
          </w:tcPr>
          <w:p w:rsidR="004D5838" w:rsidRPr="00A8361B" w:rsidRDefault="004D5838"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Biosimilar</w:t>
            </w:r>
          </w:p>
        </w:tc>
        <w:tc>
          <w:tcPr>
            <w:tcW w:w="1134" w:type="dxa"/>
            <w:shd w:val="clear" w:color="auto" w:fill="BFBFBF" w:themeFill="background1" w:themeFillShade="BF"/>
            <w:vAlign w:val="center"/>
          </w:tcPr>
          <w:p w:rsidR="004D5838" w:rsidRPr="00A8361B" w:rsidRDefault="004D5838"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Huérfano</w:t>
            </w:r>
          </w:p>
        </w:tc>
      </w:tr>
      <w:tr w:rsidR="00A8361B" w:rsidRPr="00A8361B" w:rsidTr="001D40C2">
        <w:trPr>
          <w:trHeight w:val="415"/>
        </w:trPr>
        <w:tc>
          <w:tcPr>
            <w:tcW w:w="1169" w:type="dxa"/>
            <w:shd w:val="solid" w:color="FFFFFF" w:fill="FFFFFF"/>
            <w:vAlign w:val="center"/>
          </w:tcPr>
          <w:p w:rsidR="004D5838" w:rsidRPr="00A8361B" w:rsidRDefault="004D5838" w:rsidP="00C01C3D">
            <w:pPr>
              <w:autoSpaceDE w:val="0"/>
              <w:autoSpaceDN w:val="0"/>
              <w:adjustRightInd w:val="0"/>
              <w:ind w:left="142" w:firstLine="207"/>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763068</w:t>
            </w:r>
          </w:p>
        </w:tc>
        <w:tc>
          <w:tcPr>
            <w:tcW w:w="3083" w:type="dxa"/>
            <w:shd w:val="solid" w:color="FFFFFF" w:fill="FFFFFF"/>
            <w:vAlign w:val="center"/>
          </w:tcPr>
          <w:p w:rsidR="004D5838" w:rsidRPr="00A8361B" w:rsidRDefault="004D5838" w:rsidP="00C01C3D">
            <w:pPr>
              <w:autoSpaceDE w:val="0"/>
              <w:autoSpaceDN w:val="0"/>
              <w:adjustRightInd w:val="0"/>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 xml:space="preserve">XERAVA 100MG 10 VIALES POLVO PARA CONCENTRADO PARA SOLUCION PARA PERFUSION </w:t>
            </w:r>
          </w:p>
        </w:tc>
        <w:tc>
          <w:tcPr>
            <w:tcW w:w="851" w:type="dxa"/>
            <w:shd w:val="solid" w:color="FFFFFF" w:fill="FFFFFF"/>
            <w:vAlign w:val="center"/>
          </w:tcPr>
          <w:p w:rsidR="004D5838" w:rsidRPr="00A8361B" w:rsidRDefault="004D5838" w:rsidP="00C01C3D">
            <w:pPr>
              <w:ind w:left="-56" w:firstLine="207"/>
              <w:jc w:val="center"/>
              <w:rPr>
                <w:rFonts w:asciiTheme="minorHAnsi" w:hAnsiTheme="minorHAnsi" w:cstheme="minorHAnsi"/>
                <w:sz w:val="20"/>
                <w:szCs w:val="20"/>
              </w:rPr>
            </w:pPr>
          </w:p>
        </w:tc>
        <w:tc>
          <w:tcPr>
            <w:tcW w:w="709" w:type="dxa"/>
            <w:shd w:val="solid" w:color="FFFFFF" w:fill="FFFFFF"/>
            <w:vAlign w:val="center"/>
          </w:tcPr>
          <w:p w:rsidR="004D5838" w:rsidRPr="00A8361B" w:rsidRDefault="004D5838" w:rsidP="00C01C3D">
            <w:pPr>
              <w:jc w:val="center"/>
              <w:rPr>
                <w:rFonts w:asciiTheme="minorHAnsi" w:hAnsiTheme="minorHAnsi" w:cstheme="minorHAnsi"/>
                <w:sz w:val="20"/>
                <w:szCs w:val="20"/>
              </w:rPr>
            </w:pPr>
            <w:r w:rsidRPr="00A8361B">
              <w:rPr>
                <w:rFonts w:asciiTheme="minorHAnsi" w:hAnsiTheme="minorHAnsi" w:cstheme="minorHAnsi"/>
                <w:sz w:val="20"/>
                <w:szCs w:val="20"/>
              </w:rPr>
              <w:t>√</w:t>
            </w:r>
          </w:p>
        </w:tc>
        <w:tc>
          <w:tcPr>
            <w:tcW w:w="708" w:type="dxa"/>
            <w:shd w:val="solid" w:color="FFFFFF" w:fill="FFFFFF"/>
            <w:vAlign w:val="center"/>
          </w:tcPr>
          <w:p w:rsidR="004D5838" w:rsidRPr="00A8361B" w:rsidRDefault="004D5838" w:rsidP="00C01C3D">
            <w:pPr>
              <w:ind w:left="142" w:hanging="31"/>
              <w:jc w:val="center"/>
              <w:rPr>
                <w:rFonts w:asciiTheme="minorHAnsi" w:hAnsiTheme="minorHAnsi" w:cstheme="minorHAnsi"/>
                <w:sz w:val="20"/>
                <w:szCs w:val="20"/>
              </w:rPr>
            </w:pPr>
          </w:p>
        </w:tc>
        <w:tc>
          <w:tcPr>
            <w:tcW w:w="1276" w:type="dxa"/>
            <w:shd w:val="solid" w:color="FFFFFF" w:fill="FFFFFF"/>
            <w:vAlign w:val="center"/>
          </w:tcPr>
          <w:p w:rsidR="004D5838" w:rsidRPr="00A8361B" w:rsidRDefault="004D5838" w:rsidP="00C01C3D">
            <w:pPr>
              <w:ind w:left="142" w:firstLine="207"/>
              <w:jc w:val="center"/>
              <w:rPr>
                <w:rFonts w:asciiTheme="minorHAnsi" w:hAnsiTheme="minorHAnsi" w:cstheme="minorHAnsi"/>
                <w:sz w:val="20"/>
                <w:szCs w:val="20"/>
              </w:rPr>
            </w:pPr>
          </w:p>
        </w:tc>
        <w:tc>
          <w:tcPr>
            <w:tcW w:w="1134" w:type="dxa"/>
            <w:shd w:val="solid" w:color="FFFFFF" w:fill="FFFFFF"/>
            <w:vAlign w:val="center"/>
          </w:tcPr>
          <w:p w:rsidR="004D5838" w:rsidRPr="00A8361B" w:rsidRDefault="004D5838" w:rsidP="00C01C3D">
            <w:pPr>
              <w:ind w:left="142" w:hanging="175"/>
              <w:jc w:val="center"/>
              <w:rPr>
                <w:rFonts w:asciiTheme="minorHAnsi" w:hAnsiTheme="minorHAnsi" w:cstheme="minorHAnsi"/>
                <w:sz w:val="20"/>
                <w:szCs w:val="20"/>
              </w:rPr>
            </w:pPr>
          </w:p>
        </w:tc>
      </w:tr>
    </w:tbl>
    <w:p w:rsidR="004D5838" w:rsidRPr="00A8361B" w:rsidRDefault="004D5838" w:rsidP="004D5838">
      <w:pPr>
        <w:autoSpaceDE w:val="0"/>
        <w:autoSpaceDN w:val="0"/>
        <w:adjustRightInd w:val="0"/>
        <w:ind w:left="142" w:firstLine="207"/>
        <w:jc w:val="both"/>
        <w:rPr>
          <w:rFonts w:asciiTheme="minorHAnsi" w:hAnsiTheme="minorHAnsi" w:cs="Arial"/>
        </w:rPr>
      </w:pPr>
    </w:p>
    <w:p w:rsidR="004D5838" w:rsidRPr="00A8361B" w:rsidRDefault="004D5838" w:rsidP="00AA0CBA">
      <w:pPr>
        <w:pStyle w:val="Prrafodelista"/>
        <w:numPr>
          <w:ilvl w:val="0"/>
          <w:numId w:val="35"/>
        </w:numPr>
        <w:autoSpaceDE w:val="0"/>
        <w:autoSpaceDN w:val="0"/>
        <w:adjustRightInd w:val="0"/>
        <w:jc w:val="both"/>
        <w:rPr>
          <w:rFonts w:asciiTheme="minorHAnsi" w:eastAsia="Times New Roman" w:hAnsiTheme="minorHAnsi" w:cstheme="minorHAnsi"/>
          <w:b/>
          <w:u w:val="single"/>
          <w:lang w:eastAsia="es-ES"/>
        </w:rPr>
      </w:pPr>
      <w:r w:rsidRPr="00A8361B">
        <w:rPr>
          <w:rFonts w:asciiTheme="minorHAnsi" w:eastAsiaTheme="minorHAnsi" w:hAnsiTheme="minorHAnsi" w:cstheme="minorHAnsi"/>
          <w:b/>
        </w:rPr>
        <w:t>Indicación financiada:</w:t>
      </w:r>
      <w:r w:rsidRPr="00A8361B">
        <w:rPr>
          <w:rFonts w:asciiTheme="minorHAnsi" w:hAnsiTheme="minorHAnsi" w:cstheme="minorHAnsi"/>
          <w:shd w:val="clear" w:color="auto" w:fill="FFFFFF"/>
        </w:rPr>
        <w:t xml:space="preserve"> Para el tratamiento dirigido o alta sospecha de infecciones </w:t>
      </w:r>
      <w:proofErr w:type="spellStart"/>
      <w:r w:rsidRPr="00A8361B">
        <w:rPr>
          <w:rFonts w:asciiTheme="minorHAnsi" w:hAnsiTheme="minorHAnsi" w:cstheme="minorHAnsi"/>
          <w:shd w:val="clear" w:color="auto" w:fill="FFFFFF"/>
        </w:rPr>
        <w:t>intraabdominales</w:t>
      </w:r>
      <w:proofErr w:type="spellEnd"/>
      <w:r w:rsidRPr="00A8361B">
        <w:rPr>
          <w:rFonts w:asciiTheme="minorHAnsi" w:hAnsiTheme="minorHAnsi" w:cstheme="minorHAnsi"/>
          <w:shd w:val="clear" w:color="auto" w:fill="FFFFFF"/>
        </w:rPr>
        <w:t xml:space="preserve"> complicadas (</w:t>
      </w:r>
      <w:proofErr w:type="spellStart"/>
      <w:r w:rsidRPr="00A8361B">
        <w:rPr>
          <w:rFonts w:asciiTheme="minorHAnsi" w:hAnsiTheme="minorHAnsi" w:cstheme="minorHAnsi"/>
          <w:shd w:val="clear" w:color="auto" w:fill="FFFFFF"/>
        </w:rPr>
        <w:t>IIAc</w:t>
      </w:r>
      <w:proofErr w:type="spellEnd"/>
      <w:r w:rsidRPr="00A8361B">
        <w:rPr>
          <w:rFonts w:asciiTheme="minorHAnsi" w:hAnsiTheme="minorHAnsi" w:cstheme="minorHAnsi"/>
          <w:shd w:val="clear" w:color="auto" w:fill="FFFFFF"/>
        </w:rPr>
        <w:t xml:space="preserve">) en las que no se dispusiera de otras alternativas terapéuticas, bien por resistencias o por intolerancia (hipersensibilidad o aparición de efectos adversos), si bien es fundamental individualizar la selección en función del antibiograma, cuando ello sea posible. Con la evidencia disponible, </w:t>
      </w:r>
      <w:proofErr w:type="spellStart"/>
      <w:r w:rsidRPr="00A8361B">
        <w:rPr>
          <w:rFonts w:asciiTheme="minorHAnsi" w:hAnsiTheme="minorHAnsi" w:cstheme="minorHAnsi"/>
          <w:shd w:val="clear" w:color="auto" w:fill="FFFFFF"/>
        </w:rPr>
        <w:t>eravaciclina</w:t>
      </w:r>
      <w:proofErr w:type="spellEnd"/>
      <w:r w:rsidRPr="00A8361B">
        <w:rPr>
          <w:rFonts w:asciiTheme="minorHAnsi" w:hAnsiTheme="minorHAnsi" w:cstheme="minorHAnsi"/>
          <w:shd w:val="clear" w:color="auto" w:fill="FFFFFF"/>
        </w:rPr>
        <w:t xml:space="preserve"> no debe utilizarse en monoterapia para el tratamiento de infecciones debidas por </w:t>
      </w:r>
      <w:proofErr w:type="spellStart"/>
      <w:r w:rsidRPr="00A8361B">
        <w:rPr>
          <w:rFonts w:asciiTheme="minorHAnsi" w:hAnsiTheme="minorHAnsi" w:cstheme="minorHAnsi"/>
          <w:shd w:val="clear" w:color="auto" w:fill="FFFFFF"/>
        </w:rPr>
        <w:t>Pseudomonas</w:t>
      </w:r>
      <w:proofErr w:type="spellEnd"/>
      <w:r w:rsidRPr="00A8361B">
        <w:rPr>
          <w:rFonts w:asciiTheme="minorHAnsi" w:hAnsiTheme="minorHAnsi" w:cstheme="minorHAnsi"/>
          <w:shd w:val="clear" w:color="auto" w:fill="FFFFFF"/>
        </w:rPr>
        <w:t xml:space="preserve"> </w:t>
      </w:r>
      <w:proofErr w:type="spellStart"/>
      <w:r w:rsidRPr="00A8361B">
        <w:rPr>
          <w:rFonts w:asciiTheme="minorHAnsi" w:hAnsiTheme="minorHAnsi" w:cstheme="minorHAnsi"/>
          <w:shd w:val="clear" w:color="auto" w:fill="FFFFFF"/>
        </w:rPr>
        <w:t>aeruginosa</w:t>
      </w:r>
      <w:proofErr w:type="spellEnd"/>
      <w:r w:rsidRPr="00A8361B">
        <w:rPr>
          <w:rFonts w:asciiTheme="minorHAnsi" w:hAnsiTheme="minorHAnsi" w:cstheme="minorHAnsi"/>
          <w:shd w:val="clear" w:color="auto" w:fill="FFFFFF"/>
        </w:rPr>
        <w:t>. Además, esta prescripción debe estar supervisada por el equipo PROA (Programas de optimización de uso de los antibióticos) del hospital.</w:t>
      </w:r>
    </w:p>
    <w:p w:rsidR="00FC35BA" w:rsidRPr="00A8361B" w:rsidRDefault="00FC35BA" w:rsidP="00FC35BA">
      <w:pPr>
        <w:autoSpaceDE w:val="0"/>
        <w:autoSpaceDN w:val="0"/>
        <w:adjustRightInd w:val="0"/>
        <w:ind w:left="1416"/>
        <w:jc w:val="both"/>
        <w:rPr>
          <w:rFonts w:asciiTheme="minorHAnsi" w:eastAsia="Times New Roman" w:hAnsiTheme="minorHAnsi" w:cstheme="minorHAnsi"/>
          <w:b/>
          <w:u w:val="single"/>
          <w:lang w:eastAsia="es-ES"/>
        </w:rPr>
      </w:pPr>
    </w:p>
    <w:p w:rsidR="00FC35BA" w:rsidRPr="00A8361B" w:rsidRDefault="00FC35BA" w:rsidP="00FC35BA">
      <w:pPr>
        <w:pStyle w:val="Prrafodelista"/>
        <w:widowControl w:val="0"/>
        <w:numPr>
          <w:ilvl w:val="1"/>
          <w:numId w:val="33"/>
        </w:numPr>
        <w:ind w:left="1134"/>
        <w:jc w:val="both"/>
        <w:rPr>
          <w:rFonts w:asciiTheme="minorHAnsi" w:hAnsiTheme="minorHAnsi" w:cs="Arial"/>
          <w:b/>
          <w:u w:val="single"/>
        </w:rPr>
      </w:pPr>
      <w:proofErr w:type="spellStart"/>
      <w:r w:rsidRPr="00A8361B">
        <w:rPr>
          <w:rFonts w:asciiTheme="minorHAnsi" w:hAnsiTheme="minorHAnsi" w:cstheme="minorHAnsi"/>
          <w:b/>
          <w:u w:val="single"/>
          <w:shd w:val="clear" w:color="auto" w:fill="FFFFFF"/>
        </w:rPr>
        <w:t>Lenacapavir</w:t>
      </w:r>
      <w:proofErr w:type="spellEnd"/>
      <w:r w:rsidRPr="00A8361B">
        <w:rPr>
          <w:rFonts w:asciiTheme="minorHAnsi" w:hAnsiTheme="minorHAnsi" w:cs="Arial"/>
          <w:b/>
          <w:u w:val="single"/>
        </w:rPr>
        <w:t>– J05AX31</w:t>
      </w:r>
    </w:p>
    <w:p w:rsidR="00FC35BA" w:rsidRPr="00A8361B" w:rsidRDefault="00FC35BA" w:rsidP="00FC35BA">
      <w:pPr>
        <w:widowControl w:val="0"/>
        <w:ind w:left="142" w:firstLine="207"/>
        <w:jc w:val="both"/>
        <w:rPr>
          <w:rFonts w:ascii="Arial" w:hAnsi="Arial" w:cs="Arial"/>
          <w:b/>
          <w:u w:val="single"/>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69"/>
        <w:gridCol w:w="3083"/>
        <w:gridCol w:w="851"/>
        <w:gridCol w:w="709"/>
        <w:gridCol w:w="708"/>
        <w:gridCol w:w="1276"/>
        <w:gridCol w:w="1134"/>
      </w:tblGrid>
      <w:tr w:rsidR="00A8361B" w:rsidRPr="00A8361B" w:rsidTr="001D40C2">
        <w:trPr>
          <w:trHeight w:val="353"/>
        </w:trPr>
        <w:tc>
          <w:tcPr>
            <w:tcW w:w="1169" w:type="dxa"/>
            <w:shd w:val="clear" w:color="auto" w:fill="BFBFBF" w:themeFill="background1" w:themeFillShade="BF"/>
            <w:vAlign w:val="center"/>
          </w:tcPr>
          <w:p w:rsidR="00FC35BA" w:rsidRPr="00A8361B" w:rsidRDefault="00FC35BA" w:rsidP="00D93171">
            <w:pPr>
              <w:ind w:left="142" w:firstLine="207"/>
              <w:rPr>
                <w:rFonts w:asciiTheme="minorHAnsi" w:hAnsiTheme="minorHAnsi" w:cs="Arial"/>
                <w:b/>
                <w:sz w:val="20"/>
                <w:szCs w:val="20"/>
              </w:rPr>
            </w:pPr>
            <w:r w:rsidRPr="00A8361B">
              <w:rPr>
                <w:rFonts w:asciiTheme="minorHAnsi" w:hAnsiTheme="minorHAnsi" w:cs="Arial"/>
                <w:b/>
                <w:sz w:val="20"/>
                <w:szCs w:val="20"/>
              </w:rPr>
              <w:t>CN</w:t>
            </w:r>
          </w:p>
        </w:tc>
        <w:tc>
          <w:tcPr>
            <w:tcW w:w="3083" w:type="dxa"/>
            <w:shd w:val="clear" w:color="auto" w:fill="BFBFBF" w:themeFill="background1" w:themeFillShade="BF"/>
            <w:vAlign w:val="center"/>
          </w:tcPr>
          <w:p w:rsidR="00FC35BA" w:rsidRPr="00A8361B" w:rsidRDefault="00FC35BA" w:rsidP="00D93171">
            <w:pPr>
              <w:ind w:left="142" w:firstLine="207"/>
              <w:rPr>
                <w:rFonts w:asciiTheme="minorHAnsi" w:hAnsiTheme="minorHAnsi" w:cs="Arial"/>
                <w:b/>
                <w:sz w:val="20"/>
                <w:szCs w:val="20"/>
              </w:rPr>
            </w:pPr>
            <w:r w:rsidRPr="00A8361B">
              <w:rPr>
                <w:rFonts w:asciiTheme="minorHAnsi" w:hAnsiTheme="minorHAnsi" w:cs="Arial"/>
                <w:b/>
                <w:sz w:val="20"/>
                <w:szCs w:val="20"/>
              </w:rPr>
              <w:t>NOMBRE</w:t>
            </w:r>
          </w:p>
        </w:tc>
        <w:tc>
          <w:tcPr>
            <w:tcW w:w="851" w:type="dxa"/>
            <w:shd w:val="clear" w:color="auto" w:fill="BFBFBF" w:themeFill="background1" w:themeFillShade="BF"/>
            <w:vAlign w:val="center"/>
          </w:tcPr>
          <w:p w:rsidR="00FC35BA" w:rsidRPr="00A8361B" w:rsidRDefault="00FC35BA"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 xml:space="preserve">DH </w:t>
            </w:r>
          </w:p>
        </w:tc>
        <w:tc>
          <w:tcPr>
            <w:tcW w:w="709" w:type="dxa"/>
            <w:shd w:val="clear" w:color="auto" w:fill="BFBFBF" w:themeFill="background1" w:themeFillShade="BF"/>
            <w:vAlign w:val="center"/>
          </w:tcPr>
          <w:p w:rsidR="00FC35BA" w:rsidRPr="00A8361B" w:rsidRDefault="00FC35BA"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UH</w:t>
            </w:r>
          </w:p>
        </w:tc>
        <w:tc>
          <w:tcPr>
            <w:tcW w:w="708" w:type="dxa"/>
            <w:shd w:val="clear" w:color="auto" w:fill="BFBFBF" w:themeFill="background1" w:themeFillShade="BF"/>
            <w:vAlign w:val="center"/>
          </w:tcPr>
          <w:p w:rsidR="00FC35BA" w:rsidRPr="00A8361B" w:rsidRDefault="00FC35BA"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SCP</w:t>
            </w:r>
          </w:p>
        </w:tc>
        <w:tc>
          <w:tcPr>
            <w:tcW w:w="1276" w:type="dxa"/>
            <w:shd w:val="clear" w:color="auto" w:fill="BFBFBF" w:themeFill="background1" w:themeFillShade="BF"/>
            <w:vAlign w:val="center"/>
          </w:tcPr>
          <w:p w:rsidR="00FC35BA" w:rsidRPr="00A8361B" w:rsidRDefault="00FC35BA"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Biosimilar</w:t>
            </w:r>
          </w:p>
        </w:tc>
        <w:tc>
          <w:tcPr>
            <w:tcW w:w="1134" w:type="dxa"/>
            <w:shd w:val="clear" w:color="auto" w:fill="BFBFBF" w:themeFill="background1" w:themeFillShade="BF"/>
            <w:vAlign w:val="center"/>
          </w:tcPr>
          <w:p w:rsidR="00FC35BA" w:rsidRPr="00A8361B" w:rsidRDefault="00FC35BA"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Huérfano</w:t>
            </w:r>
          </w:p>
        </w:tc>
      </w:tr>
      <w:tr w:rsidR="00A8361B" w:rsidRPr="00A8361B" w:rsidTr="001D40C2">
        <w:trPr>
          <w:trHeight w:val="415"/>
        </w:trPr>
        <w:tc>
          <w:tcPr>
            <w:tcW w:w="1169" w:type="dxa"/>
            <w:shd w:val="solid" w:color="FFFFFF" w:fill="FFFFFF"/>
            <w:vAlign w:val="center"/>
          </w:tcPr>
          <w:p w:rsidR="00FC35BA" w:rsidRPr="00A8361B" w:rsidRDefault="00D93171" w:rsidP="00C01C3D">
            <w:pPr>
              <w:autoSpaceDE w:val="0"/>
              <w:autoSpaceDN w:val="0"/>
              <w:adjustRightInd w:val="0"/>
              <w:ind w:left="142" w:firstLine="207"/>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758207</w:t>
            </w:r>
          </w:p>
        </w:tc>
        <w:tc>
          <w:tcPr>
            <w:tcW w:w="3083" w:type="dxa"/>
            <w:shd w:val="solid" w:color="FFFFFF" w:fill="FFFFFF"/>
            <w:vAlign w:val="center"/>
          </w:tcPr>
          <w:p w:rsidR="00FC35BA" w:rsidRPr="00A8361B" w:rsidRDefault="00D93171" w:rsidP="00C01C3D">
            <w:pPr>
              <w:autoSpaceDE w:val="0"/>
              <w:autoSpaceDN w:val="0"/>
              <w:adjustRightInd w:val="0"/>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SUNLENCA 300MG 5 COMPRIMIDOS RECUBIERTOS CON PELICULA</w:t>
            </w:r>
          </w:p>
        </w:tc>
        <w:tc>
          <w:tcPr>
            <w:tcW w:w="851" w:type="dxa"/>
            <w:shd w:val="solid" w:color="FFFFFF" w:fill="FFFFFF"/>
            <w:vAlign w:val="center"/>
          </w:tcPr>
          <w:p w:rsidR="00FC35BA" w:rsidRPr="00A8361B" w:rsidRDefault="00FC35BA" w:rsidP="00C01C3D">
            <w:pPr>
              <w:ind w:left="-56" w:firstLine="207"/>
              <w:jc w:val="center"/>
              <w:rPr>
                <w:rFonts w:asciiTheme="minorHAnsi" w:hAnsiTheme="minorHAnsi" w:cstheme="minorHAnsi"/>
                <w:sz w:val="20"/>
                <w:szCs w:val="20"/>
              </w:rPr>
            </w:pPr>
          </w:p>
        </w:tc>
        <w:tc>
          <w:tcPr>
            <w:tcW w:w="709" w:type="dxa"/>
            <w:shd w:val="solid" w:color="FFFFFF" w:fill="FFFFFF"/>
            <w:vAlign w:val="center"/>
          </w:tcPr>
          <w:p w:rsidR="00FC35BA" w:rsidRPr="00A8361B" w:rsidRDefault="00FC35BA" w:rsidP="00C01C3D">
            <w:pPr>
              <w:jc w:val="center"/>
              <w:rPr>
                <w:rFonts w:asciiTheme="minorHAnsi" w:hAnsiTheme="minorHAnsi" w:cstheme="minorHAnsi"/>
                <w:sz w:val="20"/>
                <w:szCs w:val="20"/>
              </w:rPr>
            </w:pPr>
            <w:r w:rsidRPr="00A8361B">
              <w:rPr>
                <w:rFonts w:asciiTheme="minorHAnsi" w:hAnsiTheme="minorHAnsi" w:cstheme="minorHAnsi"/>
                <w:sz w:val="20"/>
                <w:szCs w:val="20"/>
              </w:rPr>
              <w:t>√</w:t>
            </w:r>
          </w:p>
        </w:tc>
        <w:tc>
          <w:tcPr>
            <w:tcW w:w="708" w:type="dxa"/>
            <w:shd w:val="solid" w:color="FFFFFF" w:fill="FFFFFF"/>
            <w:vAlign w:val="center"/>
          </w:tcPr>
          <w:p w:rsidR="00FC35BA" w:rsidRPr="00A8361B" w:rsidRDefault="00FC35BA" w:rsidP="00C01C3D">
            <w:pPr>
              <w:ind w:left="142" w:hanging="31"/>
              <w:jc w:val="center"/>
              <w:rPr>
                <w:rFonts w:asciiTheme="minorHAnsi" w:hAnsiTheme="minorHAnsi" w:cstheme="minorHAnsi"/>
                <w:sz w:val="20"/>
                <w:szCs w:val="20"/>
              </w:rPr>
            </w:pPr>
          </w:p>
        </w:tc>
        <w:tc>
          <w:tcPr>
            <w:tcW w:w="1276" w:type="dxa"/>
            <w:shd w:val="solid" w:color="FFFFFF" w:fill="FFFFFF"/>
            <w:vAlign w:val="center"/>
          </w:tcPr>
          <w:p w:rsidR="00FC35BA" w:rsidRPr="00A8361B" w:rsidRDefault="00FC35BA" w:rsidP="00C01C3D">
            <w:pPr>
              <w:ind w:left="142" w:firstLine="207"/>
              <w:jc w:val="center"/>
              <w:rPr>
                <w:rFonts w:asciiTheme="minorHAnsi" w:hAnsiTheme="minorHAnsi" w:cstheme="minorHAnsi"/>
                <w:sz w:val="20"/>
                <w:szCs w:val="20"/>
              </w:rPr>
            </w:pPr>
          </w:p>
        </w:tc>
        <w:tc>
          <w:tcPr>
            <w:tcW w:w="1134" w:type="dxa"/>
            <w:shd w:val="solid" w:color="FFFFFF" w:fill="FFFFFF"/>
            <w:vAlign w:val="center"/>
          </w:tcPr>
          <w:p w:rsidR="00FC35BA" w:rsidRPr="00A8361B" w:rsidRDefault="00FC35BA" w:rsidP="00C01C3D">
            <w:pPr>
              <w:ind w:left="142" w:hanging="175"/>
              <w:jc w:val="center"/>
              <w:rPr>
                <w:rFonts w:asciiTheme="minorHAnsi" w:hAnsiTheme="minorHAnsi" w:cstheme="minorHAnsi"/>
                <w:sz w:val="20"/>
                <w:szCs w:val="20"/>
              </w:rPr>
            </w:pPr>
          </w:p>
        </w:tc>
      </w:tr>
      <w:tr w:rsidR="00A8361B" w:rsidRPr="00A8361B" w:rsidTr="001D40C2">
        <w:trPr>
          <w:trHeight w:val="415"/>
        </w:trPr>
        <w:tc>
          <w:tcPr>
            <w:tcW w:w="1169" w:type="dxa"/>
            <w:shd w:val="solid" w:color="FFFFFF" w:fill="FFFFFF"/>
            <w:vAlign w:val="center"/>
          </w:tcPr>
          <w:p w:rsidR="00FC35BA" w:rsidRPr="00A8361B" w:rsidRDefault="00D93171" w:rsidP="00C01C3D">
            <w:pPr>
              <w:autoSpaceDE w:val="0"/>
              <w:autoSpaceDN w:val="0"/>
              <w:adjustRightInd w:val="0"/>
              <w:ind w:left="142" w:firstLine="207"/>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758208</w:t>
            </w:r>
          </w:p>
        </w:tc>
        <w:tc>
          <w:tcPr>
            <w:tcW w:w="3083" w:type="dxa"/>
            <w:shd w:val="solid" w:color="FFFFFF" w:fill="FFFFFF"/>
            <w:vAlign w:val="center"/>
          </w:tcPr>
          <w:p w:rsidR="00FC35BA" w:rsidRPr="00A8361B" w:rsidRDefault="00D93171" w:rsidP="00C01C3D">
            <w:pPr>
              <w:autoSpaceDE w:val="0"/>
              <w:autoSpaceDN w:val="0"/>
              <w:adjustRightInd w:val="0"/>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SUNLENCA 464MG 2 VIALES 1,5ML SOLUCION INYECTABLE</w:t>
            </w:r>
          </w:p>
        </w:tc>
        <w:tc>
          <w:tcPr>
            <w:tcW w:w="851" w:type="dxa"/>
            <w:shd w:val="solid" w:color="FFFFFF" w:fill="FFFFFF"/>
            <w:vAlign w:val="center"/>
          </w:tcPr>
          <w:p w:rsidR="00FC35BA" w:rsidRPr="00A8361B" w:rsidRDefault="00FC35BA" w:rsidP="00C01C3D">
            <w:pPr>
              <w:ind w:left="-56" w:firstLine="207"/>
              <w:jc w:val="center"/>
              <w:rPr>
                <w:rFonts w:asciiTheme="minorHAnsi" w:hAnsiTheme="minorHAnsi" w:cstheme="minorHAnsi"/>
                <w:sz w:val="20"/>
                <w:szCs w:val="20"/>
              </w:rPr>
            </w:pPr>
          </w:p>
        </w:tc>
        <w:tc>
          <w:tcPr>
            <w:tcW w:w="709" w:type="dxa"/>
            <w:shd w:val="solid" w:color="FFFFFF" w:fill="FFFFFF"/>
            <w:vAlign w:val="center"/>
          </w:tcPr>
          <w:p w:rsidR="00FC35BA" w:rsidRPr="00A8361B" w:rsidRDefault="00D93171" w:rsidP="00C01C3D">
            <w:pPr>
              <w:jc w:val="center"/>
              <w:rPr>
                <w:rFonts w:asciiTheme="minorHAnsi" w:hAnsiTheme="minorHAnsi" w:cstheme="minorHAnsi"/>
                <w:sz w:val="20"/>
                <w:szCs w:val="20"/>
              </w:rPr>
            </w:pPr>
            <w:r w:rsidRPr="00A8361B">
              <w:rPr>
                <w:rFonts w:asciiTheme="minorHAnsi" w:hAnsiTheme="minorHAnsi" w:cstheme="minorHAnsi"/>
                <w:sz w:val="20"/>
                <w:szCs w:val="20"/>
              </w:rPr>
              <w:t>√</w:t>
            </w:r>
          </w:p>
        </w:tc>
        <w:tc>
          <w:tcPr>
            <w:tcW w:w="708" w:type="dxa"/>
            <w:shd w:val="solid" w:color="FFFFFF" w:fill="FFFFFF"/>
            <w:vAlign w:val="center"/>
          </w:tcPr>
          <w:p w:rsidR="00FC35BA" w:rsidRPr="00A8361B" w:rsidRDefault="00FC35BA" w:rsidP="00C01C3D">
            <w:pPr>
              <w:ind w:left="142" w:hanging="31"/>
              <w:jc w:val="center"/>
              <w:rPr>
                <w:rFonts w:asciiTheme="minorHAnsi" w:hAnsiTheme="minorHAnsi" w:cstheme="minorHAnsi"/>
                <w:sz w:val="20"/>
                <w:szCs w:val="20"/>
              </w:rPr>
            </w:pPr>
          </w:p>
        </w:tc>
        <w:tc>
          <w:tcPr>
            <w:tcW w:w="1276" w:type="dxa"/>
            <w:shd w:val="solid" w:color="FFFFFF" w:fill="FFFFFF"/>
            <w:vAlign w:val="center"/>
          </w:tcPr>
          <w:p w:rsidR="00FC35BA" w:rsidRPr="00A8361B" w:rsidRDefault="00FC35BA" w:rsidP="00C01C3D">
            <w:pPr>
              <w:ind w:left="142" w:firstLine="207"/>
              <w:jc w:val="center"/>
              <w:rPr>
                <w:rFonts w:asciiTheme="minorHAnsi" w:hAnsiTheme="minorHAnsi" w:cstheme="minorHAnsi"/>
                <w:sz w:val="20"/>
                <w:szCs w:val="20"/>
              </w:rPr>
            </w:pPr>
          </w:p>
        </w:tc>
        <w:tc>
          <w:tcPr>
            <w:tcW w:w="1134" w:type="dxa"/>
            <w:shd w:val="solid" w:color="FFFFFF" w:fill="FFFFFF"/>
            <w:vAlign w:val="center"/>
          </w:tcPr>
          <w:p w:rsidR="00FC35BA" w:rsidRPr="00A8361B" w:rsidRDefault="00FC35BA" w:rsidP="00C01C3D">
            <w:pPr>
              <w:ind w:left="142" w:hanging="175"/>
              <w:jc w:val="center"/>
              <w:rPr>
                <w:rFonts w:asciiTheme="minorHAnsi" w:hAnsiTheme="minorHAnsi" w:cstheme="minorHAnsi"/>
                <w:sz w:val="20"/>
                <w:szCs w:val="20"/>
              </w:rPr>
            </w:pPr>
          </w:p>
        </w:tc>
      </w:tr>
    </w:tbl>
    <w:p w:rsidR="00FC35BA" w:rsidRPr="00A8361B" w:rsidRDefault="00FC35BA" w:rsidP="00FC35BA">
      <w:pPr>
        <w:autoSpaceDE w:val="0"/>
        <w:autoSpaceDN w:val="0"/>
        <w:adjustRightInd w:val="0"/>
        <w:ind w:left="142" w:firstLine="207"/>
        <w:jc w:val="both"/>
        <w:rPr>
          <w:rFonts w:asciiTheme="minorHAnsi" w:hAnsiTheme="minorHAnsi" w:cs="Arial"/>
        </w:rPr>
      </w:pPr>
    </w:p>
    <w:p w:rsidR="00FC35BA" w:rsidRPr="00A8361B" w:rsidRDefault="00FC35BA" w:rsidP="00AA0CBA">
      <w:pPr>
        <w:pStyle w:val="Prrafodelista"/>
        <w:numPr>
          <w:ilvl w:val="1"/>
          <w:numId w:val="38"/>
        </w:numPr>
        <w:autoSpaceDE w:val="0"/>
        <w:autoSpaceDN w:val="0"/>
        <w:adjustRightInd w:val="0"/>
        <w:ind w:left="1701"/>
        <w:jc w:val="both"/>
        <w:rPr>
          <w:rFonts w:asciiTheme="minorHAnsi" w:eastAsiaTheme="minorHAnsi" w:hAnsiTheme="minorHAnsi" w:cstheme="minorHAnsi"/>
        </w:rPr>
      </w:pPr>
      <w:r w:rsidRPr="00A8361B">
        <w:rPr>
          <w:rFonts w:asciiTheme="minorHAnsi" w:eastAsiaTheme="minorHAnsi" w:hAnsiTheme="minorHAnsi" w:cstheme="minorHAnsi"/>
          <w:b/>
        </w:rPr>
        <w:lastRenderedPageBreak/>
        <w:t>Indicación financiada:</w:t>
      </w:r>
      <w:r w:rsidRPr="00A8361B">
        <w:rPr>
          <w:rFonts w:ascii="ArialMT" w:eastAsiaTheme="minorHAnsi" w:hAnsi="ArialMT" w:cs="ArialMT"/>
          <w:sz w:val="20"/>
          <w:szCs w:val="20"/>
        </w:rPr>
        <w:t xml:space="preserve"> </w:t>
      </w:r>
      <w:r w:rsidRPr="00A8361B">
        <w:rPr>
          <w:rFonts w:asciiTheme="minorHAnsi" w:eastAsiaTheme="minorHAnsi" w:hAnsiTheme="minorHAnsi" w:cstheme="minorHAnsi"/>
        </w:rPr>
        <w:t xml:space="preserve">para el tratamiento de adultos con infección por el VIH-1 </w:t>
      </w:r>
      <w:proofErr w:type="spellStart"/>
      <w:r w:rsidRPr="00A8361B">
        <w:rPr>
          <w:rFonts w:asciiTheme="minorHAnsi" w:eastAsiaTheme="minorHAnsi" w:hAnsiTheme="minorHAnsi" w:cstheme="minorHAnsi"/>
        </w:rPr>
        <w:t>multirresistente</w:t>
      </w:r>
      <w:proofErr w:type="spellEnd"/>
      <w:r w:rsidRPr="00A8361B">
        <w:rPr>
          <w:rFonts w:asciiTheme="minorHAnsi" w:eastAsiaTheme="minorHAnsi" w:hAnsiTheme="minorHAnsi" w:cstheme="minorHAnsi"/>
        </w:rPr>
        <w:t xml:space="preserve"> a fármacos para los que, de otro modo, no es posible preparar una pauta de tratamiento antiviral supresor, </w:t>
      </w:r>
      <w:r w:rsidRPr="00A8361B">
        <w:rPr>
          <w:rFonts w:asciiTheme="minorHAnsi" w:eastAsiaTheme="minorHAnsi" w:hAnsiTheme="minorHAnsi" w:cstheme="minorHAnsi"/>
          <w:b/>
          <w:bCs/>
        </w:rPr>
        <w:t xml:space="preserve">restringida </w:t>
      </w:r>
      <w:r w:rsidRPr="00A8361B">
        <w:rPr>
          <w:rFonts w:asciiTheme="minorHAnsi" w:eastAsiaTheme="minorHAnsi" w:hAnsiTheme="minorHAnsi" w:cstheme="minorHAnsi"/>
        </w:rPr>
        <w:t>a pacientes con:</w:t>
      </w:r>
    </w:p>
    <w:p w:rsidR="00FC35BA" w:rsidRPr="00AA0CBA" w:rsidRDefault="00FC35BA" w:rsidP="00AA0CBA">
      <w:pPr>
        <w:pStyle w:val="Prrafodelista"/>
        <w:numPr>
          <w:ilvl w:val="3"/>
          <w:numId w:val="37"/>
        </w:numPr>
        <w:autoSpaceDE w:val="0"/>
        <w:autoSpaceDN w:val="0"/>
        <w:adjustRightInd w:val="0"/>
        <w:ind w:left="2977"/>
        <w:jc w:val="both"/>
        <w:rPr>
          <w:rFonts w:asciiTheme="minorHAnsi" w:eastAsiaTheme="minorHAnsi" w:hAnsiTheme="minorHAnsi" w:cstheme="minorHAnsi"/>
        </w:rPr>
      </w:pPr>
      <w:r w:rsidRPr="00AA0CBA">
        <w:rPr>
          <w:rFonts w:asciiTheme="minorHAnsi" w:eastAsiaTheme="minorHAnsi" w:hAnsiTheme="minorHAnsi" w:cstheme="minorHAnsi"/>
        </w:rPr>
        <w:t>carga viral ≥400 copias/ml durante 8 semanas</w:t>
      </w:r>
    </w:p>
    <w:p w:rsidR="00FC35BA" w:rsidRPr="00AA0CBA" w:rsidRDefault="00FC35BA" w:rsidP="00AA0CBA">
      <w:pPr>
        <w:pStyle w:val="Prrafodelista"/>
        <w:numPr>
          <w:ilvl w:val="3"/>
          <w:numId w:val="37"/>
        </w:numPr>
        <w:autoSpaceDE w:val="0"/>
        <w:autoSpaceDN w:val="0"/>
        <w:adjustRightInd w:val="0"/>
        <w:ind w:left="2977"/>
        <w:jc w:val="both"/>
        <w:rPr>
          <w:rFonts w:asciiTheme="minorHAnsi" w:eastAsiaTheme="minorHAnsi" w:hAnsiTheme="minorHAnsi" w:cstheme="minorHAnsi"/>
        </w:rPr>
      </w:pPr>
      <w:r w:rsidRPr="00AA0CBA">
        <w:rPr>
          <w:rFonts w:asciiTheme="minorHAnsi" w:eastAsiaTheme="minorHAnsi" w:hAnsiTheme="minorHAnsi" w:cstheme="minorHAnsi"/>
        </w:rPr>
        <w:t>resistencia documentada a al menos 2 fármacos antirretrovirales (FAR) de al menos 3 de las 4 principales clases terapéuticas (ITIAN, ITINN, IP, INI)</w:t>
      </w:r>
    </w:p>
    <w:p w:rsidR="00FC35BA" w:rsidRPr="00AA0CBA" w:rsidRDefault="00FC35BA" w:rsidP="00AA0CBA">
      <w:pPr>
        <w:pStyle w:val="Prrafodelista"/>
        <w:numPr>
          <w:ilvl w:val="3"/>
          <w:numId w:val="37"/>
        </w:numPr>
        <w:autoSpaceDE w:val="0"/>
        <w:autoSpaceDN w:val="0"/>
        <w:adjustRightInd w:val="0"/>
        <w:ind w:left="2977"/>
        <w:jc w:val="both"/>
        <w:rPr>
          <w:rFonts w:asciiTheme="minorHAnsi" w:eastAsiaTheme="minorHAnsi" w:hAnsiTheme="minorHAnsi" w:cstheme="minorHAnsi"/>
        </w:rPr>
      </w:pPr>
      <w:r w:rsidRPr="00AA0CBA">
        <w:rPr>
          <w:rFonts w:asciiTheme="minorHAnsi" w:eastAsiaTheme="minorHAnsi" w:hAnsiTheme="minorHAnsi" w:cstheme="minorHAnsi"/>
        </w:rPr>
        <w:t>disponibilidad de no más de 2 FAR completamente activos de las principales clases terapéuticas con los que se pueda combinar y</w:t>
      </w:r>
    </w:p>
    <w:p w:rsidR="004D5838" w:rsidRPr="00AA0CBA" w:rsidRDefault="00FC35BA" w:rsidP="00AA0CBA">
      <w:pPr>
        <w:pStyle w:val="Prrafodelista"/>
        <w:numPr>
          <w:ilvl w:val="3"/>
          <w:numId w:val="37"/>
        </w:numPr>
        <w:autoSpaceDE w:val="0"/>
        <w:autoSpaceDN w:val="0"/>
        <w:adjustRightInd w:val="0"/>
        <w:ind w:left="2977"/>
        <w:jc w:val="both"/>
        <w:rPr>
          <w:rFonts w:asciiTheme="minorHAnsi" w:eastAsia="Times New Roman" w:hAnsiTheme="minorHAnsi" w:cstheme="minorHAnsi"/>
          <w:b/>
          <w:u w:val="single"/>
          <w:lang w:eastAsia="es-ES"/>
        </w:rPr>
      </w:pPr>
      <w:r w:rsidRPr="00AA0CBA">
        <w:rPr>
          <w:rFonts w:asciiTheme="minorHAnsi" w:eastAsiaTheme="minorHAnsi" w:hAnsiTheme="minorHAnsi" w:cstheme="minorHAnsi"/>
        </w:rPr>
        <w:t>cuya enfermedad ha respondido inadecuadamente o que no son elegibles a la terapia utilizada en práctica clínica habitual por intolerancia o contraindicación</w:t>
      </w:r>
      <w:r w:rsidRPr="00AA0CBA">
        <w:rPr>
          <w:rFonts w:ascii="ArialMT" w:eastAsiaTheme="minorHAnsi" w:hAnsi="ArialMT" w:cs="ArialMT"/>
          <w:sz w:val="20"/>
          <w:szCs w:val="20"/>
        </w:rPr>
        <w:t>.</w:t>
      </w:r>
    </w:p>
    <w:p w:rsidR="00FC35BA" w:rsidRPr="00A8361B" w:rsidRDefault="00FC35BA" w:rsidP="00AA0CBA">
      <w:pPr>
        <w:pStyle w:val="Prrafodelista"/>
        <w:numPr>
          <w:ilvl w:val="1"/>
          <w:numId w:val="39"/>
        </w:numPr>
        <w:autoSpaceDE w:val="0"/>
        <w:autoSpaceDN w:val="0"/>
        <w:adjustRightInd w:val="0"/>
        <w:ind w:left="1701"/>
        <w:jc w:val="both"/>
        <w:rPr>
          <w:rFonts w:asciiTheme="minorHAnsi" w:eastAsia="Times New Roman" w:hAnsiTheme="minorHAnsi" w:cstheme="minorHAnsi"/>
          <w:lang w:eastAsia="es-ES"/>
        </w:rPr>
      </w:pPr>
      <w:r w:rsidRPr="00A8361B">
        <w:rPr>
          <w:rFonts w:asciiTheme="minorHAnsi" w:eastAsia="Times New Roman" w:hAnsiTheme="minorHAnsi" w:cstheme="minorHAnsi"/>
          <w:b/>
          <w:lang w:eastAsia="es-ES"/>
        </w:rPr>
        <w:t>Para los pacientes que inician o reinician</w:t>
      </w:r>
      <w:r w:rsidRPr="00A8361B">
        <w:rPr>
          <w:rFonts w:asciiTheme="minorHAnsi" w:eastAsia="Times New Roman" w:hAnsiTheme="minorHAnsi" w:cstheme="minorHAnsi"/>
          <w:lang w:eastAsia="es-ES"/>
        </w:rPr>
        <w:t xml:space="preserve"> el tratamiento la compañía se compromete a abonar mediante abono en factura 117,93 € por cada envase de comprimidos y 707,70€ por cada envase de inyectables, en el primer año de tratamiento o retratamiento, siempre que se consuma 1 envase de </w:t>
      </w:r>
      <w:proofErr w:type="spellStart"/>
      <w:r w:rsidRPr="00A8361B">
        <w:rPr>
          <w:rFonts w:asciiTheme="minorHAnsi" w:eastAsia="Times New Roman" w:hAnsiTheme="minorHAnsi" w:cstheme="minorHAnsi"/>
          <w:lang w:eastAsia="es-ES"/>
        </w:rPr>
        <w:t>Sunlenca</w:t>
      </w:r>
      <w:proofErr w:type="spellEnd"/>
      <w:r w:rsidRPr="00A8361B">
        <w:rPr>
          <w:rFonts w:asciiTheme="minorHAnsi" w:eastAsia="Times New Roman" w:hAnsiTheme="minorHAnsi" w:cstheme="minorHAnsi"/>
          <w:lang w:eastAsia="es-ES"/>
        </w:rPr>
        <w:t xml:space="preserve"> comprimidos, y 2 envases de </w:t>
      </w:r>
      <w:proofErr w:type="spellStart"/>
      <w:r w:rsidRPr="00A8361B">
        <w:rPr>
          <w:rFonts w:asciiTheme="minorHAnsi" w:eastAsia="Times New Roman" w:hAnsiTheme="minorHAnsi" w:cstheme="minorHAnsi"/>
          <w:lang w:eastAsia="es-ES"/>
        </w:rPr>
        <w:t>Sunlenca</w:t>
      </w:r>
      <w:proofErr w:type="spellEnd"/>
      <w:r w:rsidRPr="00A8361B">
        <w:rPr>
          <w:rFonts w:asciiTheme="minorHAnsi" w:eastAsia="Times New Roman" w:hAnsiTheme="minorHAnsi" w:cstheme="minorHAnsi"/>
          <w:lang w:eastAsia="es-ES"/>
        </w:rPr>
        <w:t xml:space="preserve"> inyecciones.</w:t>
      </w:r>
    </w:p>
    <w:p w:rsidR="00FC35BA" w:rsidRPr="00AA0CBA" w:rsidRDefault="00FC35BA" w:rsidP="00AA0CBA">
      <w:pPr>
        <w:pStyle w:val="Prrafodelista"/>
        <w:numPr>
          <w:ilvl w:val="0"/>
          <w:numId w:val="40"/>
        </w:numPr>
        <w:autoSpaceDE w:val="0"/>
        <w:autoSpaceDN w:val="0"/>
        <w:adjustRightInd w:val="0"/>
        <w:ind w:left="1701"/>
        <w:jc w:val="both"/>
        <w:rPr>
          <w:rFonts w:asciiTheme="minorHAnsi" w:eastAsia="Times New Roman" w:hAnsiTheme="minorHAnsi" w:cstheme="minorHAnsi"/>
          <w:lang w:eastAsia="es-ES"/>
        </w:rPr>
      </w:pPr>
      <w:r w:rsidRPr="00AA0CBA">
        <w:rPr>
          <w:rFonts w:asciiTheme="minorHAnsi" w:eastAsia="Times New Roman" w:hAnsiTheme="minorHAnsi" w:cstheme="minorHAnsi"/>
          <w:lang w:eastAsia="es-ES"/>
        </w:rPr>
        <w:t xml:space="preserve">La compañía se compromete a abonar al Servicio de Salud correspondiente, o a los centros que éste designe y, en el modo acordado con cada uno de ellos, el diferencial entre el precio de </w:t>
      </w:r>
      <w:proofErr w:type="spellStart"/>
      <w:r w:rsidRPr="00AA0CBA">
        <w:rPr>
          <w:rFonts w:asciiTheme="minorHAnsi" w:eastAsia="Times New Roman" w:hAnsiTheme="minorHAnsi" w:cstheme="minorHAnsi"/>
          <w:lang w:eastAsia="es-ES"/>
        </w:rPr>
        <w:t>Sunlenca</w:t>
      </w:r>
      <w:proofErr w:type="spellEnd"/>
      <w:r w:rsidRPr="00AA0CBA">
        <w:rPr>
          <w:rFonts w:asciiTheme="minorHAnsi" w:eastAsia="Times New Roman" w:hAnsiTheme="minorHAnsi" w:cstheme="minorHAnsi"/>
          <w:lang w:eastAsia="es-ES"/>
        </w:rPr>
        <w:t xml:space="preserve">® suministrado a través de la aplicación de </w:t>
      </w:r>
      <w:r w:rsidRPr="00AA0CBA">
        <w:rPr>
          <w:rFonts w:asciiTheme="minorHAnsi" w:eastAsia="Times New Roman" w:hAnsiTheme="minorHAnsi" w:cstheme="minorHAnsi"/>
          <w:b/>
          <w:lang w:eastAsia="es-ES"/>
        </w:rPr>
        <w:t>Medicamentos en Situaciones Especiales</w:t>
      </w:r>
      <w:r w:rsidRPr="00AA0CBA">
        <w:rPr>
          <w:rFonts w:asciiTheme="minorHAnsi" w:eastAsia="Times New Roman" w:hAnsiTheme="minorHAnsi" w:cstheme="minorHAnsi"/>
          <w:lang w:eastAsia="es-ES"/>
        </w:rPr>
        <w:t xml:space="preserve"> de la Agencia Española del Medicamento y el PVL neto entendiéndose por tal: PVL financiado menos el </w:t>
      </w:r>
      <w:r w:rsidRPr="00AA0CBA">
        <w:rPr>
          <w:rFonts w:asciiTheme="minorHAnsi" w:eastAsia="Times New Roman" w:hAnsiTheme="minorHAnsi" w:cstheme="minorHAnsi"/>
          <w:b/>
          <w:lang w:eastAsia="es-ES"/>
        </w:rPr>
        <w:t>7,5% de deducción obligatoria</w:t>
      </w:r>
      <w:r w:rsidRPr="00AA0CBA">
        <w:rPr>
          <w:rFonts w:asciiTheme="minorHAnsi" w:eastAsia="Times New Roman" w:hAnsiTheme="minorHAnsi" w:cstheme="minorHAnsi"/>
          <w:lang w:eastAsia="es-ES"/>
        </w:rPr>
        <w:t xml:space="preserve"> según RDL 8/2010, multiplicado por las unidades solicitadas a través de la mencionada aplicación y suministradas hasta el día de alta del fármaco en el Nomenclátor de facturación del SNS.</w:t>
      </w:r>
    </w:p>
    <w:p w:rsidR="00FC35BA" w:rsidRPr="00A8361B" w:rsidRDefault="00FC35BA" w:rsidP="00FC35BA">
      <w:pPr>
        <w:autoSpaceDE w:val="0"/>
        <w:autoSpaceDN w:val="0"/>
        <w:adjustRightInd w:val="0"/>
        <w:ind w:left="2136"/>
        <w:jc w:val="both"/>
        <w:rPr>
          <w:rFonts w:asciiTheme="minorHAnsi" w:eastAsia="Times New Roman" w:hAnsiTheme="minorHAnsi" w:cstheme="minorHAnsi"/>
          <w:lang w:eastAsia="es-ES"/>
        </w:rPr>
      </w:pPr>
    </w:p>
    <w:p w:rsidR="00504E46" w:rsidRPr="00A8361B" w:rsidRDefault="000E55FB" w:rsidP="00F065CF">
      <w:pPr>
        <w:widowControl w:val="0"/>
        <w:numPr>
          <w:ilvl w:val="0"/>
          <w:numId w:val="5"/>
        </w:numPr>
        <w:ind w:left="1134" w:hanging="425"/>
        <w:jc w:val="both"/>
        <w:rPr>
          <w:rFonts w:asciiTheme="minorHAnsi" w:hAnsiTheme="minorHAnsi" w:cs="Arial"/>
          <w:b/>
          <w:u w:val="single"/>
        </w:rPr>
      </w:pPr>
      <w:proofErr w:type="spellStart"/>
      <w:r w:rsidRPr="00A8361B">
        <w:rPr>
          <w:rFonts w:asciiTheme="minorHAnsi" w:hAnsiTheme="minorHAnsi" w:cstheme="minorHAnsi"/>
          <w:b/>
          <w:u w:val="single"/>
          <w:shd w:val="clear" w:color="auto" w:fill="FFFFFF"/>
        </w:rPr>
        <w:t>Decitabina</w:t>
      </w:r>
      <w:proofErr w:type="spellEnd"/>
      <w:r w:rsidRPr="00A8361B">
        <w:rPr>
          <w:rFonts w:asciiTheme="minorHAnsi" w:hAnsiTheme="minorHAnsi" w:cstheme="minorHAnsi"/>
          <w:b/>
          <w:u w:val="single"/>
          <w:shd w:val="clear" w:color="auto" w:fill="FFFFFF"/>
        </w:rPr>
        <w:t>/</w:t>
      </w:r>
      <w:proofErr w:type="spellStart"/>
      <w:r w:rsidRPr="00A8361B">
        <w:rPr>
          <w:rFonts w:asciiTheme="minorHAnsi" w:hAnsiTheme="minorHAnsi" w:cstheme="minorHAnsi"/>
          <w:b/>
          <w:u w:val="single"/>
          <w:shd w:val="clear" w:color="auto" w:fill="FFFFFF"/>
        </w:rPr>
        <w:t>Cedazuridina</w:t>
      </w:r>
      <w:proofErr w:type="spellEnd"/>
      <w:r w:rsidRPr="00A8361B">
        <w:rPr>
          <w:rFonts w:asciiTheme="minorHAnsi" w:hAnsiTheme="minorHAnsi" w:cstheme="minorHAnsi"/>
          <w:b/>
          <w:u w:val="single"/>
          <w:shd w:val="clear" w:color="auto" w:fill="FFFFFF"/>
        </w:rPr>
        <w:t xml:space="preserve"> </w:t>
      </w:r>
      <w:r w:rsidR="00504E46" w:rsidRPr="00A8361B">
        <w:rPr>
          <w:rFonts w:asciiTheme="minorHAnsi" w:hAnsiTheme="minorHAnsi" w:cs="Arial"/>
          <w:b/>
          <w:u w:val="single"/>
        </w:rPr>
        <w:t xml:space="preserve">– </w:t>
      </w:r>
      <w:r w:rsidRPr="00A8361B">
        <w:rPr>
          <w:rFonts w:asciiTheme="minorHAnsi" w:hAnsiTheme="minorHAnsi" w:cs="Arial"/>
          <w:b/>
          <w:u w:val="single"/>
        </w:rPr>
        <w:t>L01BC58</w:t>
      </w:r>
    </w:p>
    <w:p w:rsidR="00504E46" w:rsidRPr="00A8361B" w:rsidRDefault="00504E46" w:rsidP="00504E46">
      <w:pPr>
        <w:widowControl w:val="0"/>
        <w:ind w:left="142" w:firstLine="207"/>
        <w:jc w:val="both"/>
        <w:rPr>
          <w:rFonts w:ascii="Arial" w:hAnsi="Arial" w:cs="Arial"/>
          <w:b/>
          <w:u w:val="single"/>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69"/>
        <w:gridCol w:w="2942"/>
        <w:gridCol w:w="992"/>
        <w:gridCol w:w="709"/>
        <w:gridCol w:w="708"/>
        <w:gridCol w:w="1276"/>
        <w:gridCol w:w="1134"/>
      </w:tblGrid>
      <w:tr w:rsidR="00A8361B" w:rsidRPr="00A8361B" w:rsidTr="00C43717">
        <w:trPr>
          <w:trHeight w:val="353"/>
        </w:trPr>
        <w:tc>
          <w:tcPr>
            <w:tcW w:w="1169" w:type="dxa"/>
            <w:shd w:val="clear" w:color="auto" w:fill="BFBFBF" w:themeFill="background1" w:themeFillShade="BF"/>
            <w:vAlign w:val="center"/>
          </w:tcPr>
          <w:p w:rsidR="00504E46" w:rsidRPr="00A8361B" w:rsidRDefault="00504E46" w:rsidP="00C43717">
            <w:pPr>
              <w:ind w:left="142" w:firstLine="207"/>
              <w:jc w:val="center"/>
              <w:rPr>
                <w:rFonts w:asciiTheme="minorHAnsi" w:hAnsiTheme="minorHAnsi" w:cs="Arial"/>
                <w:b/>
                <w:sz w:val="20"/>
                <w:szCs w:val="20"/>
              </w:rPr>
            </w:pPr>
            <w:r w:rsidRPr="00A8361B">
              <w:rPr>
                <w:rFonts w:asciiTheme="minorHAnsi" w:hAnsiTheme="minorHAnsi" w:cs="Arial"/>
                <w:b/>
                <w:sz w:val="20"/>
                <w:szCs w:val="20"/>
              </w:rPr>
              <w:t>CN</w:t>
            </w:r>
          </w:p>
        </w:tc>
        <w:tc>
          <w:tcPr>
            <w:tcW w:w="2942" w:type="dxa"/>
            <w:shd w:val="clear" w:color="auto" w:fill="BFBFBF" w:themeFill="background1" w:themeFillShade="BF"/>
            <w:vAlign w:val="center"/>
          </w:tcPr>
          <w:p w:rsidR="00504E46" w:rsidRPr="00A8361B" w:rsidRDefault="00504E46" w:rsidP="00C43717">
            <w:pPr>
              <w:ind w:left="142" w:firstLine="207"/>
              <w:jc w:val="center"/>
              <w:rPr>
                <w:rFonts w:asciiTheme="minorHAnsi" w:hAnsiTheme="minorHAnsi" w:cs="Arial"/>
                <w:b/>
                <w:sz w:val="20"/>
                <w:szCs w:val="20"/>
              </w:rPr>
            </w:pPr>
            <w:r w:rsidRPr="00A8361B">
              <w:rPr>
                <w:rFonts w:asciiTheme="minorHAnsi" w:hAnsiTheme="minorHAnsi" w:cs="Arial"/>
                <w:b/>
                <w:sz w:val="20"/>
                <w:szCs w:val="20"/>
              </w:rPr>
              <w:t>NOMBRE</w:t>
            </w:r>
          </w:p>
        </w:tc>
        <w:tc>
          <w:tcPr>
            <w:tcW w:w="992" w:type="dxa"/>
            <w:shd w:val="clear" w:color="auto" w:fill="BFBFBF" w:themeFill="background1" w:themeFillShade="BF"/>
            <w:vAlign w:val="center"/>
          </w:tcPr>
          <w:p w:rsidR="00504E46" w:rsidRPr="00A8361B" w:rsidRDefault="00504E46" w:rsidP="00C43717">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 xml:space="preserve">DH </w:t>
            </w:r>
          </w:p>
        </w:tc>
        <w:tc>
          <w:tcPr>
            <w:tcW w:w="709" w:type="dxa"/>
            <w:shd w:val="clear" w:color="auto" w:fill="BFBFBF" w:themeFill="background1" w:themeFillShade="BF"/>
            <w:vAlign w:val="center"/>
          </w:tcPr>
          <w:p w:rsidR="00504E46" w:rsidRPr="00A8361B" w:rsidRDefault="00504E46" w:rsidP="00C43717">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UH</w:t>
            </w:r>
          </w:p>
        </w:tc>
        <w:tc>
          <w:tcPr>
            <w:tcW w:w="708" w:type="dxa"/>
            <w:shd w:val="clear" w:color="auto" w:fill="BFBFBF" w:themeFill="background1" w:themeFillShade="BF"/>
            <w:vAlign w:val="center"/>
          </w:tcPr>
          <w:p w:rsidR="00504E46" w:rsidRPr="00A8361B" w:rsidRDefault="00504E46" w:rsidP="00C43717">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SCP</w:t>
            </w:r>
          </w:p>
        </w:tc>
        <w:tc>
          <w:tcPr>
            <w:tcW w:w="1276" w:type="dxa"/>
            <w:shd w:val="clear" w:color="auto" w:fill="BFBFBF" w:themeFill="background1" w:themeFillShade="BF"/>
            <w:vAlign w:val="center"/>
          </w:tcPr>
          <w:p w:rsidR="00504E46" w:rsidRPr="00A8361B" w:rsidRDefault="00504E46" w:rsidP="00C43717">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Biosimilar</w:t>
            </w:r>
          </w:p>
        </w:tc>
        <w:tc>
          <w:tcPr>
            <w:tcW w:w="1134" w:type="dxa"/>
            <w:shd w:val="clear" w:color="auto" w:fill="BFBFBF" w:themeFill="background1" w:themeFillShade="BF"/>
            <w:vAlign w:val="center"/>
          </w:tcPr>
          <w:p w:rsidR="00504E46" w:rsidRPr="00A8361B" w:rsidRDefault="00504E46" w:rsidP="00C43717">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Huérfano</w:t>
            </w:r>
          </w:p>
        </w:tc>
      </w:tr>
      <w:tr w:rsidR="00A8361B" w:rsidRPr="00A8361B" w:rsidTr="00C43717">
        <w:trPr>
          <w:trHeight w:val="415"/>
        </w:trPr>
        <w:tc>
          <w:tcPr>
            <w:tcW w:w="1169" w:type="dxa"/>
            <w:shd w:val="solid" w:color="FFFFFF" w:fill="FFFFFF"/>
            <w:vAlign w:val="center"/>
          </w:tcPr>
          <w:p w:rsidR="00504E46" w:rsidRPr="00A8361B" w:rsidRDefault="000E55FB" w:rsidP="00C43717">
            <w:pPr>
              <w:autoSpaceDE w:val="0"/>
              <w:autoSpaceDN w:val="0"/>
              <w:adjustRightInd w:val="0"/>
              <w:ind w:left="142" w:firstLine="207"/>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763552</w:t>
            </w:r>
          </w:p>
        </w:tc>
        <w:tc>
          <w:tcPr>
            <w:tcW w:w="2942" w:type="dxa"/>
            <w:shd w:val="solid" w:color="FFFFFF" w:fill="FFFFFF"/>
            <w:vAlign w:val="center"/>
          </w:tcPr>
          <w:p w:rsidR="00504E46" w:rsidRPr="00A8361B" w:rsidRDefault="000E55FB" w:rsidP="00C43717">
            <w:pPr>
              <w:autoSpaceDE w:val="0"/>
              <w:autoSpaceDN w:val="0"/>
              <w:adjustRightInd w:val="0"/>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INAQOVI 35MG/100MG 5 COMPRIMIDOS RECUBIERTOS CON PELICULA</w:t>
            </w:r>
          </w:p>
        </w:tc>
        <w:tc>
          <w:tcPr>
            <w:tcW w:w="992" w:type="dxa"/>
            <w:shd w:val="solid" w:color="FFFFFF" w:fill="FFFFFF"/>
            <w:vAlign w:val="center"/>
          </w:tcPr>
          <w:p w:rsidR="00504E46" w:rsidRPr="00A8361B" w:rsidRDefault="00236B71" w:rsidP="00C43717">
            <w:pPr>
              <w:ind w:left="-56" w:firstLine="207"/>
              <w:jc w:val="center"/>
              <w:rPr>
                <w:rFonts w:asciiTheme="minorHAnsi" w:hAnsiTheme="minorHAnsi" w:cstheme="minorHAnsi"/>
                <w:sz w:val="20"/>
                <w:szCs w:val="20"/>
              </w:rPr>
            </w:pPr>
            <w:r w:rsidRPr="00A8361B">
              <w:rPr>
                <w:rFonts w:asciiTheme="minorHAnsi" w:hAnsiTheme="minorHAnsi" w:cstheme="minorHAnsi"/>
                <w:sz w:val="20"/>
                <w:szCs w:val="20"/>
              </w:rPr>
              <w:t>√</w:t>
            </w:r>
          </w:p>
        </w:tc>
        <w:tc>
          <w:tcPr>
            <w:tcW w:w="709" w:type="dxa"/>
            <w:shd w:val="solid" w:color="FFFFFF" w:fill="FFFFFF"/>
            <w:vAlign w:val="center"/>
          </w:tcPr>
          <w:p w:rsidR="00504E46" w:rsidRPr="00A8361B" w:rsidRDefault="00504E46" w:rsidP="00C43717">
            <w:pPr>
              <w:jc w:val="center"/>
              <w:rPr>
                <w:rFonts w:asciiTheme="minorHAnsi" w:hAnsiTheme="minorHAnsi" w:cstheme="minorHAnsi"/>
                <w:sz w:val="20"/>
                <w:szCs w:val="20"/>
              </w:rPr>
            </w:pPr>
          </w:p>
        </w:tc>
        <w:tc>
          <w:tcPr>
            <w:tcW w:w="708" w:type="dxa"/>
            <w:shd w:val="solid" w:color="FFFFFF" w:fill="FFFFFF"/>
            <w:vAlign w:val="center"/>
          </w:tcPr>
          <w:p w:rsidR="00504E46" w:rsidRPr="00A8361B" w:rsidRDefault="00236B71" w:rsidP="00C43717">
            <w:pPr>
              <w:ind w:left="142" w:hanging="31"/>
              <w:jc w:val="center"/>
              <w:rPr>
                <w:rFonts w:asciiTheme="minorHAnsi" w:hAnsiTheme="minorHAnsi" w:cstheme="minorHAnsi"/>
                <w:sz w:val="20"/>
                <w:szCs w:val="20"/>
              </w:rPr>
            </w:pPr>
            <w:r w:rsidRPr="00A8361B">
              <w:rPr>
                <w:rFonts w:asciiTheme="minorHAnsi" w:hAnsiTheme="minorHAnsi" w:cstheme="minorHAnsi"/>
                <w:sz w:val="20"/>
                <w:szCs w:val="20"/>
              </w:rPr>
              <w:t>√</w:t>
            </w:r>
          </w:p>
        </w:tc>
        <w:tc>
          <w:tcPr>
            <w:tcW w:w="1276" w:type="dxa"/>
            <w:shd w:val="solid" w:color="FFFFFF" w:fill="FFFFFF"/>
            <w:vAlign w:val="center"/>
          </w:tcPr>
          <w:p w:rsidR="00504E46" w:rsidRPr="00A8361B" w:rsidRDefault="00504E46" w:rsidP="00C43717">
            <w:pPr>
              <w:ind w:left="142" w:firstLine="207"/>
              <w:jc w:val="center"/>
              <w:rPr>
                <w:rFonts w:asciiTheme="minorHAnsi" w:hAnsiTheme="minorHAnsi" w:cstheme="minorHAnsi"/>
                <w:sz w:val="20"/>
                <w:szCs w:val="20"/>
              </w:rPr>
            </w:pPr>
          </w:p>
        </w:tc>
        <w:tc>
          <w:tcPr>
            <w:tcW w:w="1134" w:type="dxa"/>
            <w:shd w:val="solid" w:color="FFFFFF" w:fill="FFFFFF"/>
            <w:vAlign w:val="center"/>
          </w:tcPr>
          <w:p w:rsidR="00504E46" w:rsidRPr="00A8361B" w:rsidRDefault="00504E46" w:rsidP="00C43717">
            <w:pPr>
              <w:ind w:left="142" w:firstLine="207"/>
              <w:jc w:val="center"/>
              <w:rPr>
                <w:rFonts w:asciiTheme="minorHAnsi" w:hAnsiTheme="minorHAnsi" w:cstheme="minorHAnsi"/>
                <w:sz w:val="20"/>
                <w:szCs w:val="20"/>
              </w:rPr>
            </w:pPr>
          </w:p>
        </w:tc>
      </w:tr>
    </w:tbl>
    <w:p w:rsidR="00504E46" w:rsidRPr="00A8361B" w:rsidRDefault="00504E46" w:rsidP="00504E46">
      <w:pPr>
        <w:autoSpaceDE w:val="0"/>
        <w:autoSpaceDN w:val="0"/>
        <w:adjustRightInd w:val="0"/>
        <w:ind w:left="142" w:firstLine="207"/>
        <w:jc w:val="both"/>
        <w:rPr>
          <w:rFonts w:asciiTheme="minorHAnsi" w:hAnsiTheme="minorHAnsi" w:cs="Arial"/>
        </w:rPr>
      </w:pPr>
    </w:p>
    <w:p w:rsidR="00504E46" w:rsidRPr="00A8361B" w:rsidRDefault="00504E46" w:rsidP="00C65856">
      <w:pPr>
        <w:pStyle w:val="Prrafodelista"/>
        <w:numPr>
          <w:ilvl w:val="0"/>
          <w:numId w:val="41"/>
        </w:numPr>
        <w:autoSpaceDE w:val="0"/>
        <w:autoSpaceDN w:val="0"/>
        <w:adjustRightInd w:val="0"/>
        <w:ind w:left="1701"/>
        <w:jc w:val="both"/>
        <w:rPr>
          <w:rFonts w:asciiTheme="minorHAnsi" w:eastAsia="Times New Roman" w:hAnsiTheme="minorHAnsi" w:cstheme="minorHAnsi"/>
          <w:b/>
          <w:u w:val="single"/>
          <w:lang w:eastAsia="es-ES"/>
        </w:rPr>
      </w:pPr>
      <w:r w:rsidRPr="00A8361B">
        <w:rPr>
          <w:rFonts w:asciiTheme="minorHAnsi" w:eastAsiaTheme="minorHAnsi" w:hAnsiTheme="minorHAnsi" w:cstheme="minorHAnsi"/>
          <w:b/>
        </w:rPr>
        <w:t>Indicación financiada:</w:t>
      </w:r>
      <w:r w:rsidRPr="00A8361B">
        <w:rPr>
          <w:rFonts w:asciiTheme="minorHAnsi" w:hAnsiTheme="minorHAnsi" w:cstheme="minorHAnsi"/>
          <w:shd w:val="clear" w:color="auto" w:fill="FFFFFF"/>
        </w:rPr>
        <w:t xml:space="preserve"> </w:t>
      </w:r>
      <w:proofErr w:type="spellStart"/>
      <w:r w:rsidR="009C15B4" w:rsidRPr="00A8361B">
        <w:rPr>
          <w:rFonts w:asciiTheme="minorHAnsi" w:hAnsiTheme="minorHAnsi" w:cstheme="minorHAnsi"/>
          <w:shd w:val="clear" w:color="auto" w:fill="FFFFFF"/>
        </w:rPr>
        <w:t>Inaqovi</w:t>
      </w:r>
      <w:proofErr w:type="spellEnd"/>
      <w:r w:rsidR="009C15B4" w:rsidRPr="00A8361B">
        <w:rPr>
          <w:rFonts w:asciiTheme="minorHAnsi" w:hAnsiTheme="minorHAnsi" w:cstheme="minorHAnsi"/>
          <w:shd w:val="clear" w:color="auto" w:fill="FFFFFF"/>
        </w:rPr>
        <w:t xml:space="preserve"> está indicado en monoterapia para el tratamiento de pacientes adultos con leucemia mieloide aguda (LMA) de nuevo diagnóstico que no son candidatos a la quimioterapia de inducción estándar.</w:t>
      </w:r>
    </w:p>
    <w:p w:rsidR="00C247EE" w:rsidRPr="00A8361B" w:rsidRDefault="00C247EE" w:rsidP="00C247EE">
      <w:pPr>
        <w:ind w:left="916"/>
        <w:jc w:val="both"/>
        <w:rPr>
          <w:rFonts w:eastAsia="Times New Roman" w:cs="Arial"/>
          <w:lang w:eastAsia="es-ES"/>
        </w:rPr>
      </w:pPr>
    </w:p>
    <w:p w:rsidR="004F0601" w:rsidRPr="00A8361B" w:rsidRDefault="004F0601" w:rsidP="004F0601">
      <w:pPr>
        <w:widowControl w:val="0"/>
        <w:numPr>
          <w:ilvl w:val="0"/>
          <w:numId w:val="5"/>
        </w:numPr>
        <w:ind w:left="1134" w:hanging="425"/>
        <w:jc w:val="both"/>
        <w:rPr>
          <w:rFonts w:asciiTheme="minorHAnsi" w:hAnsiTheme="minorHAnsi" w:cs="Arial"/>
          <w:b/>
          <w:u w:val="single"/>
        </w:rPr>
      </w:pPr>
      <w:proofErr w:type="spellStart"/>
      <w:r w:rsidRPr="00A8361B">
        <w:rPr>
          <w:rFonts w:asciiTheme="minorHAnsi" w:hAnsiTheme="minorHAnsi" w:cstheme="minorHAnsi"/>
          <w:b/>
          <w:u w:val="single"/>
          <w:shd w:val="clear" w:color="auto" w:fill="FFFFFF"/>
        </w:rPr>
        <w:t>Ublituximab</w:t>
      </w:r>
      <w:proofErr w:type="spellEnd"/>
      <w:r w:rsidRPr="00A8361B">
        <w:rPr>
          <w:rFonts w:asciiTheme="minorHAnsi" w:hAnsiTheme="minorHAnsi" w:cstheme="minorHAnsi"/>
          <w:b/>
          <w:u w:val="single"/>
          <w:shd w:val="clear" w:color="auto" w:fill="FFFFFF"/>
        </w:rPr>
        <w:t xml:space="preserve"> </w:t>
      </w:r>
      <w:r w:rsidRPr="00A8361B">
        <w:rPr>
          <w:rFonts w:asciiTheme="minorHAnsi" w:hAnsiTheme="minorHAnsi" w:cs="Arial"/>
          <w:b/>
          <w:u w:val="single"/>
        </w:rPr>
        <w:t>– L04AG14</w:t>
      </w:r>
    </w:p>
    <w:p w:rsidR="004F0601" w:rsidRPr="00A8361B" w:rsidRDefault="004F0601" w:rsidP="004F0601">
      <w:pPr>
        <w:widowControl w:val="0"/>
        <w:ind w:left="142" w:firstLine="207"/>
        <w:jc w:val="both"/>
        <w:rPr>
          <w:rFonts w:ascii="Arial" w:hAnsi="Arial" w:cs="Arial"/>
          <w:b/>
          <w:u w:val="single"/>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69"/>
        <w:gridCol w:w="2942"/>
        <w:gridCol w:w="992"/>
        <w:gridCol w:w="709"/>
        <w:gridCol w:w="708"/>
        <w:gridCol w:w="1276"/>
        <w:gridCol w:w="1134"/>
      </w:tblGrid>
      <w:tr w:rsidR="00A8361B" w:rsidRPr="00A8361B" w:rsidTr="004F0601">
        <w:trPr>
          <w:trHeight w:val="353"/>
        </w:trPr>
        <w:tc>
          <w:tcPr>
            <w:tcW w:w="1169" w:type="dxa"/>
            <w:shd w:val="clear" w:color="auto" w:fill="BFBFBF" w:themeFill="background1" w:themeFillShade="BF"/>
            <w:vAlign w:val="center"/>
          </w:tcPr>
          <w:p w:rsidR="004F0601" w:rsidRPr="00A8361B" w:rsidRDefault="004F0601" w:rsidP="004F0601">
            <w:pPr>
              <w:ind w:left="142" w:firstLine="207"/>
              <w:jc w:val="center"/>
              <w:rPr>
                <w:rFonts w:asciiTheme="minorHAnsi" w:hAnsiTheme="minorHAnsi" w:cs="Arial"/>
                <w:b/>
                <w:sz w:val="20"/>
                <w:szCs w:val="20"/>
              </w:rPr>
            </w:pPr>
            <w:r w:rsidRPr="00A8361B">
              <w:rPr>
                <w:rFonts w:asciiTheme="minorHAnsi" w:hAnsiTheme="minorHAnsi" w:cs="Arial"/>
                <w:b/>
                <w:sz w:val="20"/>
                <w:szCs w:val="20"/>
              </w:rPr>
              <w:t>CN</w:t>
            </w:r>
          </w:p>
        </w:tc>
        <w:tc>
          <w:tcPr>
            <w:tcW w:w="2942" w:type="dxa"/>
            <w:shd w:val="clear" w:color="auto" w:fill="BFBFBF" w:themeFill="background1" w:themeFillShade="BF"/>
            <w:vAlign w:val="center"/>
          </w:tcPr>
          <w:p w:rsidR="004F0601" w:rsidRPr="00A8361B" w:rsidRDefault="004F0601" w:rsidP="004F0601">
            <w:pPr>
              <w:ind w:left="142" w:firstLine="207"/>
              <w:jc w:val="center"/>
              <w:rPr>
                <w:rFonts w:asciiTheme="minorHAnsi" w:hAnsiTheme="minorHAnsi" w:cs="Arial"/>
                <w:b/>
                <w:sz w:val="20"/>
                <w:szCs w:val="20"/>
              </w:rPr>
            </w:pPr>
            <w:r w:rsidRPr="00A8361B">
              <w:rPr>
                <w:rFonts w:asciiTheme="minorHAnsi" w:hAnsiTheme="minorHAnsi" w:cs="Arial"/>
                <w:b/>
                <w:sz w:val="20"/>
                <w:szCs w:val="20"/>
              </w:rPr>
              <w:t>NOMBRE</w:t>
            </w:r>
          </w:p>
        </w:tc>
        <w:tc>
          <w:tcPr>
            <w:tcW w:w="992" w:type="dxa"/>
            <w:shd w:val="clear" w:color="auto" w:fill="BFBFBF" w:themeFill="background1" w:themeFillShade="BF"/>
            <w:vAlign w:val="center"/>
          </w:tcPr>
          <w:p w:rsidR="004F0601" w:rsidRPr="00A8361B" w:rsidRDefault="004F0601" w:rsidP="004F0601">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 xml:space="preserve">DH </w:t>
            </w:r>
          </w:p>
        </w:tc>
        <w:tc>
          <w:tcPr>
            <w:tcW w:w="709" w:type="dxa"/>
            <w:shd w:val="clear" w:color="auto" w:fill="BFBFBF" w:themeFill="background1" w:themeFillShade="BF"/>
            <w:vAlign w:val="center"/>
          </w:tcPr>
          <w:p w:rsidR="004F0601" w:rsidRPr="00A8361B" w:rsidRDefault="004F0601" w:rsidP="004F0601">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UH</w:t>
            </w:r>
          </w:p>
        </w:tc>
        <w:tc>
          <w:tcPr>
            <w:tcW w:w="708" w:type="dxa"/>
            <w:shd w:val="clear" w:color="auto" w:fill="BFBFBF" w:themeFill="background1" w:themeFillShade="BF"/>
            <w:vAlign w:val="center"/>
          </w:tcPr>
          <w:p w:rsidR="004F0601" w:rsidRPr="00A8361B" w:rsidRDefault="004F0601" w:rsidP="004F0601">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SCP</w:t>
            </w:r>
          </w:p>
        </w:tc>
        <w:tc>
          <w:tcPr>
            <w:tcW w:w="1276" w:type="dxa"/>
            <w:shd w:val="clear" w:color="auto" w:fill="BFBFBF" w:themeFill="background1" w:themeFillShade="BF"/>
            <w:vAlign w:val="center"/>
          </w:tcPr>
          <w:p w:rsidR="004F0601" w:rsidRPr="00A8361B" w:rsidRDefault="004F0601" w:rsidP="004F0601">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Biosimilar</w:t>
            </w:r>
          </w:p>
        </w:tc>
        <w:tc>
          <w:tcPr>
            <w:tcW w:w="1134" w:type="dxa"/>
            <w:shd w:val="clear" w:color="auto" w:fill="BFBFBF" w:themeFill="background1" w:themeFillShade="BF"/>
            <w:vAlign w:val="center"/>
          </w:tcPr>
          <w:p w:rsidR="004F0601" w:rsidRPr="00A8361B" w:rsidRDefault="004F0601" w:rsidP="004F0601">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Huérfano</w:t>
            </w:r>
          </w:p>
        </w:tc>
      </w:tr>
      <w:tr w:rsidR="00A8361B" w:rsidRPr="00A8361B" w:rsidTr="004F0601">
        <w:trPr>
          <w:trHeight w:val="415"/>
        </w:trPr>
        <w:tc>
          <w:tcPr>
            <w:tcW w:w="1169" w:type="dxa"/>
            <w:shd w:val="solid" w:color="FFFFFF" w:fill="FFFFFF"/>
            <w:vAlign w:val="center"/>
          </w:tcPr>
          <w:p w:rsidR="004F0601" w:rsidRPr="00A8361B" w:rsidRDefault="00FF7689" w:rsidP="004F0601">
            <w:pPr>
              <w:autoSpaceDE w:val="0"/>
              <w:autoSpaceDN w:val="0"/>
              <w:adjustRightInd w:val="0"/>
              <w:ind w:left="142" w:firstLine="207"/>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763751</w:t>
            </w:r>
          </w:p>
        </w:tc>
        <w:tc>
          <w:tcPr>
            <w:tcW w:w="2942" w:type="dxa"/>
            <w:shd w:val="solid" w:color="FFFFFF" w:fill="FFFFFF"/>
            <w:vAlign w:val="center"/>
          </w:tcPr>
          <w:p w:rsidR="004F0601" w:rsidRPr="00A8361B" w:rsidRDefault="001A582B" w:rsidP="004F0601">
            <w:pPr>
              <w:autoSpaceDE w:val="0"/>
              <w:autoSpaceDN w:val="0"/>
              <w:adjustRightInd w:val="0"/>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BRIUMVI 150MG 1 VIAL CONCENTRADO PARA SOLUCION PARA PERFUSION</w:t>
            </w:r>
          </w:p>
        </w:tc>
        <w:tc>
          <w:tcPr>
            <w:tcW w:w="992" w:type="dxa"/>
            <w:shd w:val="solid" w:color="FFFFFF" w:fill="FFFFFF"/>
            <w:vAlign w:val="center"/>
          </w:tcPr>
          <w:p w:rsidR="004F0601" w:rsidRPr="00A8361B" w:rsidRDefault="004F0601" w:rsidP="004F0601">
            <w:pPr>
              <w:ind w:left="-56" w:firstLine="207"/>
              <w:jc w:val="center"/>
              <w:rPr>
                <w:rFonts w:asciiTheme="minorHAnsi" w:hAnsiTheme="minorHAnsi" w:cstheme="minorHAnsi"/>
                <w:sz w:val="20"/>
                <w:szCs w:val="20"/>
              </w:rPr>
            </w:pPr>
          </w:p>
        </w:tc>
        <w:tc>
          <w:tcPr>
            <w:tcW w:w="709" w:type="dxa"/>
            <w:shd w:val="solid" w:color="FFFFFF" w:fill="FFFFFF"/>
            <w:vAlign w:val="center"/>
          </w:tcPr>
          <w:p w:rsidR="004F0601" w:rsidRPr="00A8361B" w:rsidRDefault="00524872" w:rsidP="004F0601">
            <w:pPr>
              <w:jc w:val="center"/>
              <w:rPr>
                <w:rFonts w:asciiTheme="minorHAnsi" w:hAnsiTheme="minorHAnsi" w:cstheme="minorHAnsi"/>
                <w:sz w:val="20"/>
                <w:szCs w:val="20"/>
              </w:rPr>
            </w:pPr>
            <w:r w:rsidRPr="00A8361B">
              <w:rPr>
                <w:rFonts w:asciiTheme="minorHAnsi" w:hAnsiTheme="minorHAnsi" w:cstheme="minorHAnsi"/>
                <w:sz w:val="20"/>
                <w:szCs w:val="20"/>
              </w:rPr>
              <w:t>√</w:t>
            </w:r>
          </w:p>
        </w:tc>
        <w:tc>
          <w:tcPr>
            <w:tcW w:w="708" w:type="dxa"/>
            <w:shd w:val="solid" w:color="FFFFFF" w:fill="FFFFFF"/>
            <w:vAlign w:val="center"/>
          </w:tcPr>
          <w:p w:rsidR="004F0601" w:rsidRPr="00A8361B" w:rsidRDefault="004F0601" w:rsidP="004F0601">
            <w:pPr>
              <w:ind w:left="142" w:hanging="31"/>
              <w:jc w:val="center"/>
              <w:rPr>
                <w:rFonts w:asciiTheme="minorHAnsi" w:hAnsiTheme="minorHAnsi" w:cstheme="minorHAnsi"/>
                <w:sz w:val="20"/>
                <w:szCs w:val="20"/>
              </w:rPr>
            </w:pPr>
          </w:p>
        </w:tc>
        <w:tc>
          <w:tcPr>
            <w:tcW w:w="1276" w:type="dxa"/>
            <w:shd w:val="solid" w:color="FFFFFF" w:fill="FFFFFF"/>
            <w:vAlign w:val="center"/>
          </w:tcPr>
          <w:p w:rsidR="004F0601" w:rsidRPr="00A8361B" w:rsidRDefault="004F0601" w:rsidP="004F0601">
            <w:pPr>
              <w:ind w:left="142" w:firstLine="207"/>
              <w:jc w:val="center"/>
              <w:rPr>
                <w:rFonts w:asciiTheme="minorHAnsi" w:hAnsiTheme="minorHAnsi" w:cstheme="minorHAnsi"/>
                <w:sz w:val="20"/>
                <w:szCs w:val="20"/>
              </w:rPr>
            </w:pPr>
          </w:p>
        </w:tc>
        <w:tc>
          <w:tcPr>
            <w:tcW w:w="1134" w:type="dxa"/>
            <w:shd w:val="solid" w:color="FFFFFF" w:fill="FFFFFF"/>
            <w:vAlign w:val="center"/>
          </w:tcPr>
          <w:p w:rsidR="004F0601" w:rsidRPr="00A8361B" w:rsidRDefault="004F0601" w:rsidP="004F0601">
            <w:pPr>
              <w:ind w:left="142" w:firstLine="207"/>
              <w:jc w:val="center"/>
              <w:rPr>
                <w:rFonts w:asciiTheme="minorHAnsi" w:hAnsiTheme="minorHAnsi" w:cstheme="minorHAnsi"/>
                <w:sz w:val="20"/>
                <w:szCs w:val="20"/>
              </w:rPr>
            </w:pPr>
          </w:p>
        </w:tc>
      </w:tr>
    </w:tbl>
    <w:p w:rsidR="004D5838" w:rsidRPr="00A8361B" w:rsidRDefault="004D5838" w:rsidP="004D5838">
      <w:pPr>
        <w:ind w:left="916"/>
        <w:jc w:val="both"/>
        <w:rPr>
          <w:rFonts w:asciiTheme="minorHAnsi" w:eastAsiaTheme="minorHAnsi" w:hAnsiTheme="minorHAnsi" w:cstheme="minorHAnsi"/>
          <w:b/>
        </w:rPr>
      </w:pPr>
    </w:p>
    <w:p w:rsidR="004D5838" w:rsidRPr="00A8361B" w:rsidRDefault="004D5838" w:rsidP="004D5838">
      <w:pPr>
        <w:pStyle w:val="Prrafodelista"/>
        <w:numPr>
          <w:ilvl w:val="0"/>
          <w:numId w:val="32"/>
        </w:numPr>
        <w:jc w:val="both"/>
        <w:rPr>
          <w:rFonts w:asciiTheme="minorHAnsi" w:hAnsiTheme="minorHAnsi" w:cstheme="minorHAnsi"/>
          <w:shd w:val="clear" w:color="auto" w:fill="FFFFFF"/>
        </w:rPr>
      </w:pPr>
      <w:r w:rsidRPr="00A8361B">
        <w:rPr>
          <w:rFonts w:asciiTheme="minorHAnsi" w:eastAsiaTheme="minorHAnsi" w:hAnsiTheme="minorHAnsi" w:cstheme="minorHAnsi"/>
          <w:b/>
        </w:rPr>
        <w:t>Indicación financiada:</w:t>
      </w:r>
      <w:r w:rsidRPr="00A8361B">
        <w:rPr>
          <w:rFonts w:ascii="Helvetica" w:hAnsi="Helvetica" w:cs="Helvetica"/>
          <w:shd w:val="clear" w:color="auto" w:fill="FFFFFF"/>
        </w:rPr>
        <w:t xml:space="preserve"> </w:t>
      </w:r>
      <w:proofErr w:type="spellStart"/>
      <w:r w:rsidRPr="00A8361B">
        <w:rPr>
          <w:rFonts w:asciiTheme="minorHAnsi" w:hAnsiTheme="minorHAnsi" w:cstheme="minorHAnsi"/>
          <w:shd w:val="clear" w:color="auto" w:fill="FFFFFF"/>
        </w:rPr>
        <w:t>Briumvi</w:t>
      </w:r>
      <w:proofErr w:type="spellEnd"/>
      <w:r w:rsidRPr="00A8361B">
        <w:rPr>
          <w:rFonts w:asciiTheme="minorHAnsi" w:hAnsiTheme="minorHAnsi" w:cstheme="minorHAnsi"/>
          <w:shd w:val="clear" w:color="auto" w:fill="FFFFFF"/>
        </w:rPr>
        <w:t xml:space="preserve"> está indicado para el tratamiento de pacientes adultos con formas recurrentes de esclerosis múltiple (EMR) con enfermedad activa definida por características clínicas o de imagen.</w:t>
      </w:r>
      <w:r w:rsidRPr="00A8361B">
        <w:t xml:space="preserve"> </w:t>
      </w:r>
      <w:r w:rsidRPr="00A8361B">
        <w:rPr>
          <w:rFonts w:asciiTheme="minorHAnsi" w:hAnsiTheme="minorHAnsi" w:cstheme="minorHAnsi"/>
          <w:b/>
          <w:shd w:val="clear" w:color="auto" w:fill="FFFFFF"/>
        </w:rPr>
        <w:t>Se limita la financiación</w:t>
      </w:r>
      <w:r w:rsidRPr="00A8361B">
        <w:rPr>
          <w:rFonts w:asciiTheme="minorHAnsi" w:hAnsiTheme="minorHAnsi" w:cstheme="minorHAnsi"/>
          <w:shd w:val="clear" w:color="auto" w:fill="FFFFFF"/>
        </w:rPr>
        <w:t>:</w:t>
      </w:r>
    </w:p>
    <w:p w:rsidR="004D5838" w:rsidRPr="00A8361B" w:rsidRDefault="004D5838" w:rsidP="004D5838">
      <w:pPr>
        <w:pStyle w:val="Prrafodelista"/>
        <w:numPr>
          <w:ilvl w:val="1"/>
          <w:numId w:val="32"/>
        </w:numPr>
        <w:jc w:val="both"/>
        <w:rPr>
          <w:rFonts w:asciiTheme="minorHAnsi" w:hAnsiTheme="minorHAnsi" w:cstheme="minorHAnsi"/>
          <w:shd w:val="clear" w:color="auto" w:fill="FFFFFF"/>
        </w:rPr>
      </w:pPr>
      <w:r w:rsidRPr="00A8361B">
        <w:rPr>
          <w:rFonts w:asciiTheme="minorHAnsi" w:hAnsiTheme="minorHAnsi" w:cstheme="minorHAnsi"/>
          <w:u w:val="single"/>
          <w:shd w:val="clear" w:color="auto" w:fill="FFFFFF"/>
        </w:rPr>
        <w:t>En segunda línea</w:t>
      </w:r>
      <w:r w:rsidRPr="00A8361B">
        <w:rPr>
          <w:rFonts w:asciiTheme="minorHAnsi" w:hAnsiTheme="minorHAnsi" w:cstheme="minorHAnsi"/>
          <w:shd w:val="clear" w:color="auto" w:fill="FFFFFF"/>
        </w:rPr>
        <w:t xml:space="preserve">: como alternativa de tratamiento para pacientes con EMRR (esclerosis múltiple recurrente-remitente) o EMSP (esclerosis múltiple </w:t>
      </w:r>
      <w:r w:rsidRPr="00A8361B">
        <w:rPr>
          <w:rFonts w:asciiTheme="minorHAnsi" w:hAnsiTheme="minorHAnsi" w:cstheme="minorHAnsi"/>
          <w:shd w:val="clear" w:color="auto" w:fill="FFFFFF"/>
        </w:rPr>
        <w:lastRenderedPageBreak/>
        <w:t xml:space="preserve">secundaria progresiva) con enfermedad activa que no respondan al menos a un tratamiento modificador de la enfermedad de moderada eficacia. Podría considerarse el uso de </w:t>
      </w:r>
      <w:proofErr w:type="spellStart"/>
      <w:r w:rsidRPr="00A8361B">
        <w:rPr>
          <w:rFonts w:asciiTheme="minorHAnsi" w:hAnsiTheme="minorHAnsi" w:cstheme="minorHAnsi"/>
          <w:shd w:val="clear" w:color="auto" w:fill="FFFFFF"/>
        </w:rPr>
        <w:t>ublituximab</w:t>
      </w:r>
      <w:proofErr w:type="spellEnd"/>
      <w:r w:rsidRPr="00A8361B">
        <w:rPr>
          <w:rFonts w:asciiTheme="minorHAnsi" w:hAnsiTheme="minorHAnsi" w:cstheme="minorHAnsi"/>
          <w:shd w:val="clear" w:color="auto" w:fill="FFFFFF"/>
        </w:rPr>
        <w:t xml:space="preserve"> como alternativa a otros fármacos de alta actividad, como </w:t>
      </w:r>
      <w:proofErr w:type="spellStart"/>
      <w:r w:rsidRPr="00A8361B">
        <w:rPr>
          <w:rFonts w:asciiTheme="minorHAnsi" w:hAnsiTheme="minorHAnsi" w:cstheme="minorHAnsi"/>
          <w:shd w:val="clear" w:color="auto" w:fill="FFFFFF"/>
        </w:rPr>
        <w:t>natalizumab</w:t>
      </w:r>
      <w:proofErr w:type="spellEnd"/>
      <w:r w:rsidRPr="00A8361B">
        <w:rPr>
          <w:rFonts w:asciiTheme="minorHAnsi" w:hAnsiTheme="minorHAnsi" w:cstheme="minorHAnsi"/>
          <w:shd w:val="clear" w:color="auto" w:fill="FFFFFF"/>
        </w:rPr>
        <w:t xml:space="preserve">, </w:t>
      </w:r>
      <w:proofErr w:type="spellStart"/>
      <w:r w:rsidRPr="00A8361B">
        <w:rPr>
          <w:rFonts w:asciiTheme="minorHAnsi" w:hAnsiTheme="minorHAnsi" w:cstheme="minorHAnsi"/>
          <w:shd w:val="clear" w:color="auto" w:fill="FFFFFF"/>
        </w:rPr>
        <w:t>ocrelizumab</w:t>
      </w:r>
      <w:proofErr w:type="spellEnd"/>
      <w:r w:rsidRPr="00A8361B">
        <w:rPr>
          <w:rFonts w:asciiTheme="minorHAnsi" w:hAnsiTheme="minorHAnsi" w:cstheme="minorHAnsi"/>
          <w:shd w:val="clear" w:color="auto" w:fill="FFFFFF"/>
        </w:rPr>
        <w:t xml:space="preserve">, </w:t>
      </w:r>
      <w:proofErr w:type="spellStart"/>
      <w:r w:rsidRPr="00A8361B">
        <w:rPr>
          <w:rFonts w:asciiTheme="minorHAnsi" w:hAnsiTheme="minorHAnsi" w:cstheme="minorHAnsi"/>
          <w:shd w:val="clear" w:color="auto" w:fill="FFFFFF"/>
        </w:rPr>
        <w:t>ofatumumab</w:t>
      </w:r>
      <w:proofErr w:type="spellEnd"/>
      <w:r w:rsidRPr="00A8361B">
        <w:rPr>
          <w:rFonts w:asciiTheme="minorHAnsi" w:hAnsiTheme="minorHAnsi" w:cstheme="minorHAnsi"/>
          <w:shd w:val="clear" w:color="auto" w:fill="FFFFFF"/>
        </w:rPr>
        <w:t xml:space="preserve">, </w:t>
      </w:r>
      <w:proofErr w:type="spellStart"/>
      <w:r w:rsidRPr="00A8361B">
        <w:rPr>
          <w:rFonts w:asciiTheme="minorHAnsi" w:hAnsiTheme="minorHAnsi" w:cstheme="minorHAnsi"/>
          <w:shd w:val="clear" w:color="auto" w:fill="FFFFFF"/>
        </w:rPr>
        <w:t>fingolimod</w:t>
      </w:r>
      <w:proofErr w:type="spellEnd"/>
      <w:r w:rsidRPr="00A8361B">
        <w:rPr>
          <w:rFonts w:asciiTheme="minorHAnsi" w:hAnsiTheme="minorHAnsi" w:cstheme="minorHAnsi"/>
          <w:shd w:val="clear" w:color="auto" w:fill="FFFFFF"/>
        </w:rPr>
        <w:t xml:space="preserve">, </w:t>
      </w:r>
      <w:proofErr w:type="spellStart"/>
      <w:r w:rsidRPr="00A8361B">
        <w:rPr>
          <w:rFonts w:asciiTheme="minorHAnsi" w:hAnsiTheme="minorHAnsi" w:cstheme="minorHAnsi"/>
          <w:shd w:val="clear" w:color="auto" w:fill="FFFFFF"/>
        </w:rPr>
        <w:t>cladribina</w:t>
      </w:r>
      <w:proofErr w:type="spellEnd"/>
      <w:r w:rsidRPr="00A8361B">
        <w:rPr>
          <w:rFonts w:asciiTheme="minorHAnsi" w:hAnsiTheme="minorHAnsi" w:cstheme="minorHAnsi"/>
          <w:shd w:val="clear" w:color="auto" w:fill="FFFFFF"/>
        </w:rPr>
        <w:t xml:space="preserve"> o </w:t>
      </w:r>
      <w:proofErr w:type="spellStart"/>
      <w:r w:rsidRPr="00A8361B">
        <w:rPr>
          <w:rFonts w:asciiTheme="minorHAnsi" w:hAnsiTheme="minorHAnsi" w:cstheme="minorHAnsi"/>
          <w:shd w:val="clear" w:color="auto" w:fill="FFFFFF"/>
        </w:rPr>
        <w:t>alemtuzumab</w:t>
      </w:r>
      <w:proofErr w:type="spellEnd"/>
      <w:r w:rsidRPr="00A8361B">
        <w:rPr>
          <w:rFonts w:asciiTheme="minorHAnsi" w:hAnsiTheme="minorHAnsi" w:cstheme="minorHAnsi"/>
          <w:shd w:val="clear" w:color="auto" w:fill="FFFFFF"/>
        </w:rPr>
        <w:t>.</w:t>
      </w:r>
    </w:p>
    <w:p w:rsidR="004F09FD" w:rsidRPr="00A8361B" w:rsidRDefault="004D5838" w:rsidP="004D5838">
      <w:pPr>
        <w:pStyle w:val="Prrafodelista"/>
        <w:numPr>
          <w:ilvl w:val="1"/>
          <w:numId w:val="32"/>
        </w:numPr>
        <w:jc w:val="both"/>
        <w:rPr>
          <w:rFonts w:asciiTheme="minorHAnsi" w:eastAsiaTheme="minorHAnsi" w:hAnsiTheme="minorHAnsi" w:cstheme="minorHAnsi"/>
          <w:b/>
        </w:rPr>
      </w:pPr>
      <w:r w:rsidRPr="00A8361B">
        <w:rPr>
          <w:rFonts w:asciiTheme="minorHAnsi" w:hAnsiTheme="minorHAnsi" w:cstheme="minorHAnsi"/>
          <w:u w:val="single"/>
          <w:shd w:val="clear" w:color="auto" w:fill="FFFFFF"/>
        </w:rPr>
        <w:t>En primera línea</w:t>
      </w:r>
      <w:r w:rsidRPr="00A8361B">
        <w:rPr>
          <w:rFonts w:asciiTheme="minorHAnsi" w:hAnsiTheme="minorHAnsi" w:cstheme="minorHAnsi"/>
          <w:shd w:val="clear" w:color="auto" w:fill="FFFFFF"/>
        </w:rPr>
        <w:t xml:space="preserve"> para EMR (formas recurrentes de esclerosis múltiple) con enfermedad activa sólo en los casos de pacientes con una enfermedad de curso rápido y agresivo (definido en base a criterios clínicos y/o de </w:t>
      </w:r>
      <w:proofErr w:type="spellStart"/>
      <w:r w:rsidRPr="00A8361B">
        <w:rPr>
          <w:rFonts w:asciiTheme="minorHAnsi" w:hAnsiTheme="minorHAnsi" w:cstheme="minorHAnsi"/>
          <w:shd w:val="clear" w:color="auto" w:fill="FFFFFF"/>
        </w:rPr>
        <w:t>neuroimagen</w:t>
      </w:r>
      <w:proofErr w:type="spellEnd"/>
      <w:r w:rsidRPr="00A8361B">
        <w:rPr>
          <w:rFonts w:asciiTheme="minorHAnsi" w:hAnsiTheme="minorHAnsi" w:cstheme="minorHAnsi"/>
          <w:shd w:val="clear" w:color="auto" w:fill="FFFFFF"/>
        </w:rPr>
        <w:t>) y/o en presencia de factores de mal pronóstico.</w:t>
      </w:r>
    </w:p>
    <w:p w:rsidR="00B0655B" w:rsidRPr="00A8361B" w:rsidRDefault="00B0655B" w:rsidP="00B0655B">
      <w:pPr>
        <w:pStyle w:val="Prrafodelista"/>
        <w:numPr>
          <w:ilvl w:val="0"/>
          <w:numId w:val="32"/>
        </w:numPr>
        <w:jc w:val="both"/>
        <w:rPr>
          <w:rFonts w:asciiTheme="minorHAnsi" w:eastAsiaTheme="minorHAnsi" w:hAnsiTheme="minorHAnsi" w:cstheme="minorHAnsi"/>
        </w:rPr>
      </w:pPr>
      <w:r w:rsidRPr="00A8361B">
        <w:rPr>
          <w:rFonts w:asciiTheme="minorHAnsi" w:eastAsiaTheme="minorHAnsi" w:hAnsiTheme="minorHAnsi" w:cstheme="minorHAnsi"/>
        </w:rPr>
        <w:t xml:space="preserve">Se establece un </w:t>
      </w:r>
      <w:r w:rsidRPr="00A8361B">
        <w:rPr>
          <w:rFonts w:asciiTheme="minorHAnsi" w:eastAsiaTheme="minorHAnsi" w:hAnsiTheme="minorHAnsi" w:cstheme="minorHAnsi"/>
          <w:b/>
        </w:rPr>
        <w:t>coste máximo por paciente</w:t>
      </w:r>
      <w:r w:rsidRPr="00A8361B">
        <w:rPr>
          <w:rFonts w:asciiTheme="minorHAnsi" w:eastAsiaTheme="minorHAnsi" w:hAnsiTheme="minorHAnsi" w:cstheme="minorHAnsi"/>
        </w:rPr>
        <w:t xml:space="preserve"> de 6 envases al año por paciente, es decir, 9.620,16 euros/año, y la entrega a coste cero del resto de los envases hasta completar el año de tratamiento de cada paciente.</w:t>
      </w:r>
    </w:p>
    <w:p w:rsidR="004D5838" w:rsidRPr="00A8361B" w:rsidRDefault="004D5838" w:rsidP="00C247EE">
      <w:pPr>
        <w:ind w:left="916"/>
        <w:jc w:val="both"/>
        <w:rPr>
          <w:rFonts w:asciiTheme="minorHAnsi" w:eastAsiaTheme="minorHAnsi" w:hAnsiTheme="minorHAnsi" w:cstheme="minorHAnsi"/>
          <w:b/>
        </w:rPr>
      </w:pPr>
    </w:p>
    <w:p w:rsidR="004D5838" w:rsidRPr="00A8361B" w:rsidRDefault="004D5838" w:rsidP="004D5838">
      <w:pPr>
        <w:pStyle w:val="Prrafodelista"/>
        <w:widowControl w:val="0"/>
        <w:numPr>
          <w:ilvl w:val="0"/>
          <w:numId w:val="20"/>
        </w:numPr>
        <w:jc w:val="both"/>
        <w:rPr>
          <w:rFonts w:asciiTheme="minorHAnsi" w:hAnsiTheme="minorHAnsi" w:cs="Arial"/>
          <w:b/>
          <w:u w:val="single"/>
        </w:rPr>
      </w:pPr>
      <w:proofErr w:type="spellStart"/>
      <w:r w:rsidRPr="00A8361B">
        <w:rPr>
          <w:rFonts w:asciiTheme="minorHAnsi" w:hAnsiTheme="minorHAnsi" w:cstheme="minorHAnsi"/>
          <w:b/>
          <w:u w:val="single"/>
          <w:shd w:val="clear" w:color="auto" w:fill="FFFFFF"/>
        </w:rPr>
        <w:t>Piflufolastat</w:t>
      </w:r>
      <w:proofErr w:type="spellEnd"/>
      <w:r w:rsidRPr="00A8361B">
        <w:rPr>
          <w:rFonts w:asciiTheme="minorHAnsi" w:hAnsiTheme="minorHAnsi" w:cstheme="minorHAnsi"/>
          <w:b/>
          <w:u w:val="single"/>
          <w:shd w:val="clear" w:color="auto" w:fill="FFFFFF"/>
        </w:rPr>
        <w:t xml:space="preserve"> (18F)</w:t>
      </w:r>
      <w:r w:rsidRPr="00A8361B">
        <w:rPr>
          <w:rFonts w:asciiTheme="minorHAnsi" w:hAnsiTheme="minorHAnsi" w:cs="Arial"/>
          <w:b/>
          <w:u w:val="single"/>
        </w:rPr>
        <w:t xml:space="preserve">– </w:t>
      </w:r>
      <w:r w:rsidRPr="00A8361B">
        <w:rPr>
          <w:rFonts w:asciiTheme="minorHAnsi" w:hAnsiTheme="minorHAnsi" w:cstheme="minorHAnsi"/>
          <w:b/>
          <w:u w:val="single"/>
          <w:shd w:val="clear" w:color="auto" w:fill="FFFFFF"/>
        </w:rPr>
        <w:t xml:space="preserve">V09IX16 </w:t>
      </w:r>
    </w:p>
    <w:p w:rsidR="004D5838" w:rsidRPr="00A8361B" w:rsidRDefault="004D5838" w:rsidP="004D5838">
      <w:pPr>
        <w:widowControl w:val="0"/>
        <w:ind w:left="142" w:firstLine="207"/>
        <w:jc w:val="both"/>
        <w:rPr>
          <w:rFonts w:ascii="Arial" w:hAnsi="Arial" w:cs="Arial"/>
          <w:b/>
          <w:u w:val="single"/>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69"/>
        <w:gridCol w:w="2942"/>
        <w:gridCol w:w="992"/>
        <w:gridCol w:w="709"/>
        <w:gridCol w:w="708"/>
        <w:gridCol w:w="1276"/>
        <w:gridCol w:w="1134"/>
      </w:tblGrid>
      <w:tr w:rsidR="00A8361B" w:rsidRPr="00A8361B" w:rsidTr="00C01C3D">
        <w:trPr>
          <w:trHeight w:val="353"/>
        </w:trPr>
        <w:tc>
          <w:tcPr>
            <w:tcW w:w="1169" w:type="dxa"/>
            <w:shd w:val="clear" w:color="auto" w:fill="BFBFBF" w:themeFill="background1" w:themeFillShade="BF"/>
            <w:vAlign w:val="center"/>
          </w:tcPr>
          <w:p w:rsidR="004D5838" w:rsidRPr="00A8361B" w:rsidRDefault="004D5838" w:rsidP="00C01C3D">
            <w:pPr>
              <w:ind w:left="142" w:firstLine="207"/>
              <w:jc w:val="center"/>
              <w:rPr>
                <w:rFonts w:asciiTheme="minorHAnsi" w:hAnsiTheme="minorHAnsi" w:cs="Arial"/>
                <w:b/>
                <w:sz w:val="20"/>
                <w:szCs w:val="20"/>
              </w:rPr>
            </w:pPr>
            <w:r w:rsidRPr="00A8361B">
              <w:rPr>
                <w:rFonts w:asciiTheme="minorHAnsi" w:hAnsiTheme="minorHAnsi" w:cs="Arial"/>
                <w:b/>
                <w:sz w:val="20"/>
                <w:szCs w:val="20"/>
              </w:rPr>
              <w:t>CN</w:t>
            </w:r>
          </w:p>
        </w:tc>
        <w:tc>
          <w:tcPr>
            <w:tcW w:w="2942" w:type="dxa"/>
            <w:shd w:val="clear" w:color="auto" w:fill="BFBFBF" w:themeFill="background1" w:themeFillShade="BF"/>
            <w:vAlign w:val="center"/>
          </w:tcPr>
          <w:p w:rsidR="004D5838" w:rsidRPr="00A8361B" w:rsidRDefault="004D5838" w:rsidP="00C01C3D">
            <w:pPr>
              <w:ind w:left="142" w:firstLine="207"/>
              <w:jc w:val="center"/>
              <w:rPr>
                <w:rFonts w:asciiTheme="minorHAnsi" w:hAnsiTheme="minorHAnsi" w:cs="Arial"/>
                <w:b/>
                <w:sz w:val="20"/>
                <w:szCs w:val="20"/>
              </w:rPr>
            </w:pPr>
            <w:r w:rsidRPr="00A8361B">
              <w:rPr>
                <w:rFonts w:asciiTheme="minorHAnsi" w:hAnsiTheme="minorHAnsi" w:cs="Arial"/>
                <w:b/>
                <w:sz w:val="20"/>
                <w:szCs w:val="20"/>
              </w:rPr>
              <w:t>NOMBRE</w:t>
            </w:r>
          </w:p>
        </w:tc>
        <w:tc>
          <w:tcPr>
            <w:tcW w:w="992" w:type="dxa"/>
            <w:shd w:val="clear" w:color="auto" w:fill="BFBFBF" w:themeFill="background1" w:themeFillShade="BF"/>
            <w:vAlign w:val="center"/>
          </w:tcPr>
          <w:p w:rsidR="004D5838" w:rsidRPr="00A8361B" w:rsidRDefault="004D5838"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 xml:space="preserve">DH </w:t>
            </w:r>
          </w:p>
        </w:tc>
        <w:tc>
          <w:tcPr>
            <w:tcW w:w="709" w:type="dxa"/>
            <w:shd w:val="clear" w:color="auto" w:fill="BFBFBF" w:themeFill="background1" w:themeFillShade="BF"/>
            <w:vAlign w:val="center"/>
          </w:tcPr>
          <w:p w:rsidR="004D5838" w:rsidRPr="00A8361B" w:rsidRDefault="004D5838"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UH</w:t>
            </w:r>
          </w:p>
        </w:tc>
        <w:tc>
          <w:tcPr>
            <w:tcW w:w="708" w:type="dxa"/>
            <w:shd w:val="clear" w:color="auto" w:fill="BFBFBF" w:themeFill="background1" w:themeFillShade="BF"/>
            <w:vAlign w:val="center"/>
          </w:tcPr>
          <w:p w:rsidR="004D5838" w:rsidRPr="00A8361B" w:rsidRDefault="004D5838"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SCP</w:t>
            </w:r>
          </w:p>
        </w:tc>
        <w:tc>
          <w:tcPr>
            <w:tcW w:w="1276" w:type="dxa"/>
            <w:shd w:val="clear" w:color="auto" w:fill="BFBFBF" w:themeFill="background1" w:themeFillShade="BF"/>
            <w:vAlign w:val="center"/>
          </w:tcPr>
          <w:p w:rsidR="004D5838" w:rsidRPr="00A8361B" w:rsidRDefault="004D5838"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Biosimilar</w:t>
            </w:r>
          </w:p>
        </w:tc>
        <w:tc>
          <w:tcPr>
            <w:tcW w:w="1134" w:type="dxa"/>
            <w:shd w:val="clear" w:color="auto" w:fill="BFBFBF" w:themeFill="background1" w:themeFillShade="BF"/>
            <w:vAlign w:val="center"/>
          </w:tcPr>
          <w:p w:rsidR="004D5838" w:rsidRPr="00A8361B" w:rsidRDefault="004D5838" w:rsidP="00C01C3D">
            <w:pPr>
              <w:autoSpaceDE w:val="0"/>
              <w:autoSpaceDN w:val="0"/>
              <w:adjustRightInd w:val="0"/>
              <w:ind w:left="142" w:firstLine="109"/>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Huérfano</w:t>
            </w:r>
          </w:p>
        </w:tc>
      </w:tr>
      <w:tr w:rsidR="00A8361B" w:rsidRPr="00A8361B" w:rsidTr="00C01C3D">
        <w:trPr>
          <w:trHeight w:val="415"/>
        </w:trPr>
        <w:tc>
          <w:tcPr>
            <w:tcW w:w="1169" w:type="dxa"/>
            <w:shd w:val="solid" w:color="FFFFFF" w:fill="FFFFFF"/>
            <w:vAlign w:val="center"/>
          </w:tcPr>
          <w:p w:rsidR="004D5838" w:rsidRPr="00A8361B" w:rsidRDefault="004D5838" w:rsidP="00C01C3D">
            <w:pPr>
              <w:autoSpaceDE w:val="0"/>
              <w:autoSpaceDN w:val="0"/>
              <w:adjustRightInd w:val="0"/>
              <w:ind w:left="142" w:firstLine="207"/>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763307</w:t>
            </w:r>
          </w:p>
        </w:tc>
        <w:tc>
          <w:tcPr>
            <w:tcW w:w="2942" w:type="dxa"/>
            <w:shd w:val="solid" w:color="FFFFFF" w:fill="FFFFFF"/>
            <w:vAlign w:val="center"/>
          </w:tcPr>
          <w:p w:rsidR="004D5838" w:rsidRPr="00A8361B" w:rsidRDefault="004D5838" w:rsidP="00C01C3D">
            <w:pPr>
              <w:autoSpaceDE w:val="0"/>
              <w:autoSpaceDN w:val="0"/>
              <w:adjustRightInd w:val="0"/>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PYLCLARI 1500MBQ/ML 1 VIAL DE 0,5-10ML SOLUCION INYECTABLE</w:t>
            </w:r>
          </w:p>
        </w:tc>
        <w:tc>
          <w:tcPr>
            <w:tcW w:w="992" w:type="dxa"/>
            <w:shd w:val="solid" w:color="FFFFFF" w:fill="FFFFFF"/>
            <w:vAlign w:val="center"/>
          </w:tcPr>
          <w:p w:rsidR="004D5838" w:rsidRPr="00A8361B" w:rsidRDefault="004D5838" w:rsidP="00C01C3D">
            <w:pPr>
              <w:ind w:left="-56" w:firstLine="207"/>
              <w:jc w:val="center"/>
              <w:rPr>
                <w:rFonts w:asciiTheme="minorHAnsi" w:hAnsiTheme="minorHAnsi" w:cstheme="minorHAnsi"/>
                <w:sz w:val="20"/>
                <w:szCs w:val="20"/>
              </w:rPr>
            </w:pPr>
          </w:p>
        </w:tc>
        <w:tc>
          <w:tcPr>
            <w:tcW w:w="709" w:type="dxa"/>
            <w:shd w:val="solid" w:color="FFFFFF" w:fill="FFFFFF"/>
            <w:vAlign w:val="center"/>
          </w:tcPr>
          <w:p w:rsidR="004D5838" w:rsidRPr="00A8361B" w:rsidRDefault="004D5838" w:rsidP="00C01C3D">
            <w:pPr>
              <w:jc w:val="center"/>
              <w:rPr>
                <w:rFonts w:asciiTheme="minorHAnsi" w:hAnsiTheme="minorHAnsi" w:cstheme="minorHAnsi"/>
                <w:sz w:val="20"/>
                <w:szCs w:val="20"/>
              </w:rPr>
            </w:pPr>
            <w:r w:rsidRPr="00A8361B">
              <w:rPr>
                <w:rFonts w:asciiTheme="minorHAnsi" w:hAnsiTheme="minorHAnsi" w:cstheme="minorHAnsi"/>
                <w:sz w:val="20"/>
                <w:szCs w:val="20"/>
              </w:rPr>
              <w:t>√</w:t>
            </w:r>
          </w:p>
        </w:tc>
        <w:tc>
          <w:tcPr>
            <w:tcW w:w="708" w:type="dxa"/>
            <w:shd w:val="solid" w:color="FFFFFF" w:fill="FFFFFF"/>
            <w:vAlign w:val="center"/>
          </w:tcPr>
          <w:p w:rsidR="004D5838" w:rsidRPr="00A8361B" w:rsidRDefault="004D5838" w:rsidP="00C01C3D">
            <w:pPr>
              <w:ind w:left="142" w:hanging="31"/>
              <w:jc w:val="center"/>
              <w:rPr>
                <w:rFonts w:asciiTheme="minorHAnsi" w:hAnsiTheme="minorHAnsi" w:cstheme="minorHAnsi"/>
                <w:sz w:val="20"/>
                <w:szCs w:val="20"/>
              </w:rPr>
            </w:pPr>
          </w:p>
        </w:tc>
        <w:tc>
          <w:tcPr>
            <w:tcW w:w="1276" w:type="dxa"/>
            <w:shd w:val="solid" w:color="FFFFFF" w:fill="FFFFFF"/>
            <w:vAlign w:val="center"/>
          </w:tcPr>
          <w:p w:rsidR="004D5838" w:rsidRPr="00A8361B" w:rsidRDefault="004D5838" w:rsidP="00C01C3D">
            <w:pPr>
              <w:ind w:left="142" w:firstLine="207"/>
              <w:jc w:val="center"/>
              <w:rPr>
                <w:rFonts w:asciiTheme="minorHAnsi" w:hAnsiTheme="minorHAnsi" w:cstheme="minorHAnsi"/>
                <w:sz w:val="20"/>
                <w:szCs w:val="20"/>
              </w:rPr>
            </w:pPr>
          </w:p>
        </w:tc>
        <w:tc>
          <w:tcPr>
            <w:tcW w:w="1134" w:type="dxa"/>
            <w:shd w:val="solid" w:color="FFFFFF" w:fill="FFFFFF"/>
            <w:vAlign w:val="center"/>
          </w:tcPr>
          <w:p w:rsidR="004D5838" w:rsidRPr="00A8361B" w:rsidRDefault="004D5838" w:rsidP="00C01C3D">
            <w:pPr>
              <w:ind w:left="142" w:firstLine="207"/>
              <w:jc w:val="center"/>
              <w:rPr>
                <w:rFonts w:asciiTheme="minorHAnsi" w:hAnsiTheme="minorHAnsi" w:cstheme="minorHAnsi"/>
                <w:sz w:val="20"/>
                <w:szCs w:val="20"/>
              </w:rPr>
            </w:pPr>
          </w:p>
        </w:tc>
      </w:tr>
      <w:tr w:rsidR="00A8361B" w:rsidRPr="00A8361B" w:rsidTr="00C01C3D">
        <w:trPr>
          <w:trHeight w:val="415"/>
        </w:trPr>
        <w:tc>
          <w:tcPr>
            <w:tcW w:w="1169" w:type="dxa"/>
            <w:shd w:val="solid" w:color="FFFFFF" w:fill="FFFFFF"/>
            <w:vAlign w:val="center"/>
          </w:tcPr>
          <w:p w:rsidR="004D5838" w:rsidRPr="00A8361B" w:rsidRDefault="004D5838" w:rsidP="00C01C3D">
            <w:pPr>
              <w:autoSpaceDE w:val="0"/>
              <w:autoSpaceDN w:val="0"/>
              <w:adjustRightInd w:val="0"/>
              <w:ind w:left="142" w:firstLine="207"/>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763308</w:t>
            </w:r>
          </w:p>
        </w:tc>
        <w:tc>
          <w:tcPr>
            <w:tcW w:w="2942" w:type="dxa"/>
            <w:shd w:val="solid" w:color="FFFFFF" w:fill="FFFFFF"/>
            <w:vAlign w:val="center"/>
          </w:tcPr>
          <w:p w:rsidR="004D5838" w:rsidRPr="00A8361B" w:rsidRDefault="004D5838" w:rsidP="00C01C3D">
            <w:pPr>
              <w:autoSpaceDE w:val="0"/>
              <w:autoSpaceDN w:val="0"/>
              <w:adjustRightInd w:val="0"/>
              <w:rPr>
                <w:rFonts w:asciiTheme="minorHAnsi" w:eastAsiaTheme="minorHAnsi" w:hAnsiTheme="minorHAnsi" w:cstheme="minorHAnsi"/>
                <w:sz w:val="20"/>
                <w:szCs w:val="20"/>
              </w:rPr>
            </w:pPr>
            <w:r w:rsidRPr="00A8361B">
              <w:rPr>
                <w:rFonts w:asciiTheme="minorHAnsi" w:eastAsiaTheme="minorHAnsi" w:hAnsiTheme="minorHAnsi" w:cstheme="minorHAnsi"/>
                <w:sz w:val="20"/>
                <w:szCs w:val="20"/>
              </w:rPr>
              <w:t>PYLCLARI 1000MBQ/ML 1 VIAL DE 0,5-10ML SOLUCION INYECTABLE</w:t>
            </w:r>
          </w:p>
        </w:tc>
        <w:tc>
          <w:tcPr>
            <w:tcW w:w="992" w:type="dxa"/>
            <w:shd w:val="solid" w:color="FFFFFF" w:fill="FFFFFF"/>
            <w:vAlign w:val="center"/>
          </w:tcPr>
          <w:p w:rsidR="004D5838" w:rsidRPr="00A8361B" w:rsidRDefault="004D5838" w:rsidP="00C01C3D">
            <w:pPr>
              <w:ind w:left="-56" w:firstLine="207"/>
              <w:jc w:val="center"/>
              <w:rPr>
                <w:rFonts w:asciiTheme="minorHAnsi" w:hAnsiTheme="minorHAnsi" w:cstheme="minorHAnsi"/>
                <w:sz w:val="20"/>
                <w:szCs w:val="20"/>
              </w:rPr>
            </w:pPr>
          </w:p>
        </w:tc>
        <w:tc>
          <w:tcPr>
            <w:tcW w:w="709" w:type="dxa"/>
            <w:shd w:val="solid" w:color="FFFFFF" w:fill="FFFFFF"/>
            <w:vAlign w:val="center"/>
          </w:tcPr>
          <w:p w:rsidR="004D5838" w:rsidRPr="00A8361B" w:rsidRDefault="004D5838" w:rsidP="00C01C3D">
            <w:pPr>
              <w:jc w:val="center"/>
              <w:rPr>
                <w:rFonts w:asciiTheme="minorHAnsi" w:hAnsiTheme="minorHAnsi" w:cstheme="minorHAnsi"/>
                <w:sz w:val="20"/>
                <w:szCs w:val="20"/>
              </w:rPr>
            </w:pPr>
            <w:r w:rsidRPr="00A8361B">
              <w:rPr>
                <w:rFonts w:asciiTheme="minorHAnsi" w:hAnsiTheme="minorHAnsi" w:cstheme="minorHAnsi"/>
                <w:sz w:val="20"/>
                <w:szCs w:val="20"/>
              </w:rPr>
              <w:t>√</w:t>
            </w:r>
          </w:p>
        </w:tc>
        <w:tc>
          <w:tcPr>
            <w:tcW w:w="708" w:type="dxa"/>
            <w:shd w:val="solid" w:color="FFFFFF" w:fill="FFFFFF"/>
            <w:vAlign w:val="center"/>
          </w:tcPr>
          <w:p w:rsidR="004D5838" w:rsidRPr="00A8361B" w:rsidRDefault="004D5838" w:rsidP="00C01C3D">
            <w:pPr>
              <w:ind w:left="142" w:hanging="31"/>
              <w:jc w:val="center"/>
              <w:rPr>
                <w:rFonts w:asciiTheme="minorHAnsi" w:hAnsiTheme="minorHAnsi" w:cstheme="minorHAnsi"/>
                <w:sz w:val="20"/>
                <w:szCs w:val="20"/>
              </w:rPr>
            </w:pPr>
          </w:p>
        </w:tc>
        <w:tc>
          <w:tcPr>
            <w:tcW w:w="1276" w:type="dxa"/>
            <w:shd w:val="solid" w:color="FFFFFF" w:fill="FFFFFF"/>
            <w:vAlign w:val="center"/>
          </w:tcPr>
          <w:p w:rsidR="004D5838" w:rsidRPr="00A8361B" w:rsidRDefault="004D5838" w:rsidP="00C01C3D">
            <w:pPr>
              <w:ind w:left="142" w:firstLine="207"/>
              <w:jc w:val="center"/>
              <w:rPr>
                <w:rFonts w:asciiTheme="minorHAnsi" w:hAnsiTheme="minorHAnsi" w:cstheme="minorHAnsi"/>
                <w:sz w:val="20"/>
                <w:szCs w:val="20"/>
              </w:rPr>
            </w:pPr>
          </w:p>
        </w:tc>
        <w:tc>
          <w:tcPr>
            <w:tcW w:w="1134" w:type="dxa"/>
            <w:shd w:val="solid" w:color="FFFFFF" w:fill="FFFFFF"/>
            <w:vAlign w:val="center"/>
          </w:tcPr>
          <w:p w:rsidR="004D5838" w:rsidRPr="00A8361B" w:rsidRDefault="004D5838" w:rsidP="00C01C3D">
            <w:pPr>
              <w:ind w:left="142" w:firstLine="207"/>
              <w:jc w:val="center"/>
              <w:rPr>
                <w:rFonts w:asciiTheme="minorHAnsi" w:hAnsiTheme="minorHAnsi" w:cstheme="minorHAnsi"/>
                <w:sz w:val="20"/>
                <w:szCs w:val="20"/>
              </w:rPr>
            </w:pPr>
          </w:p>
        </w:tc>
      </w:tr>
    </w:tbl>
    <w:p w:rsidR="004D5838" w:rsidRPr="00A8361B" w:rsidRDefault="004D5838" w:rsidP="004D5838">
      <w:pPr>
        <w:autoSpaceDE w:val="0"/>
        <w:autoSpaceDN w:val="0"/>
        <w:adjustRightInd w:val="0"/>
        <w:ind w:left="142" w:firstLine="207"/>
        <w:jc w:val="both"/>
        <w:rPr>
          <w:rFonts w:asciiTheme="minorHAnsi" w:hAnsiTheme="minorHAnsi" w:cs="Arial"/>
        </w:rPr>
      </w:pPr>
    </w:p>
    <w:p w:rsidR="004D5838" w:rsidRPr="00A8361B" w:rsidRDefault="004D5838" w:rsidP="004D5838">
      <w:pPr>
        <w:pStyle w:val="Prrafodelista"/>
        <w:numPr>
          <w:ilvl w:val="1"/>
          <w:numId w:val="26"/>
        </w:numPr>
        <w:autoSpaceDE w:val="0"/>
        <w:autoSpaceDN w:val="0"/>
        <w:adjustRightInd w:val="0"/>
        <w:ind w:left="1560"/>
        <w:jc w:val="both"/>
        <w:rPr>
          <w:rFonts w:asciiTheme="minorHAnsi" w:eastAsiaTheme="minorHAnsi" w:hAnsiTheme="minorHAnsi" w:cstheme="minorHAnsi"/>
        </w:rPr>
      </w:pPr>
      <w:r w:rsidRPr="00A8361B">
        <w:rPr>
          <w:rFonts w:asciiTheme="minorHAnsi" w:eastAsiaTheme="minorHAnsi" w:hAnsiTheme="minorHAnsi" w:cstheme="minorHAnsi"/>
          <w:b/>
        </w:rPr>
        <w:t>Indicación financiada:</w:t>
      </w:r>
      <w:r w:rsidRPr="00A8361B">
        <w:rPr>
          <w:rFonts w:asciiTheme="minorHAnsi" w:hAnsiTheme="minorHAnsi" w:cstheme="minorHAnsi"/>
          <w:shd w:val="clear" w:color="auto" w:fill="FFFFFF"/>
        </w:rPr>
        <w:t xml:space="preserve"> </w:t>
      </w:r>
      <w:r w:rsidRPr="00A8361B">
        <w:rPr>
          <w:rFonts w:asciiTheme="minorHAnsi" w:eastAsiaTheme="minorHAnsi" w:hAnsiTheme="minorHAnsi" w:cstheme="minorHAnsi"/>
        </w:rPr>
        <w:t xml:space="preserve">Este medicamento es únicamente para uso diagnóstico. </w:t>
      </w:r>
      <w:proofErr w:type="spellStart"/>
      <w:r w:rsidRPr="00A8361B">
        <w:rPr>
          <w:rFonts w:asciiTheme="minorHAnsi" w:eastAsiaTheme="minorHAnsi" w:hAnsiTheme="minorHAnsi" w:cstheme="minorHAnsi"/>
        </w:rPr>
        <w:t>Pylclari</w:t>
      </w:r>
      <w:proofErr w:type="spellEnd"/>
      <w:r w:rsidRPr="00A8361B">
        <w:rPr>
          <w:rFonts w:asciiTheme="minorHAnsi" w:eastAsiaTheme="minorHAnsi" w:hAnsiTheme="minorHAnsi" w:cstheme="minorHAnsi"/>
        </w:rPr>
        <w:t xml:space="preserve"> está indicado para la detección de lesiones que expresan el antígeno prostático específico de membrana (PSMA) mediante tomografía por emisión de positrones (PET) en adultos con cáncer de próstata (</w:t>
      </w:r>
      <w:proofErr w:type="spellStart"/>
      <w:r w:rsidRPr="00A8361B">
        <w:rPr>
          <w:rFonts w:asciiTheme="minorHAnsi" w:eastAsiaTheme="minorHAnsi" w:hAnsiTheme="minorHAnsi" w:cstheme="minorHAnsi"/>
        </w:rPr>
        <w:t>CaP</w:t>
      </w:r>
      <w:proofErr w:type="spellEnd"/>
      <w:r w:rsidRPr="00A8361B">
        <w:rPr>
          <w:rFonts w:asciiTheme="minorHAnsi" w:eastAsiaTheme="minorHAnsi" w:hAnsiTheme="minorHAnsi" w:cstheme="minorHAnsi"/>
        </w:rPr>
        <w:t>) en los siguientes escenarios clínicos:</w:t>
      </w:r>
    </w:p>
    <w:p w:rsidR="004D5838" w:rsidRPr="00A8361B" w:rsidRDefault="004D5838" w:rsidP="004D5838">
      <w:pPr>
        <w:pStyle w:val="Prrafodelista"/>
        <w:numPr>
          <w:ilvl w:val="2"/>
          <w:numId w:val="26"/>
        </w:numPr>
        <w:autoSpaceDE w:val="0"/>
        <w:autoSpaceDN w:val="0"/>
        <w:adjustRightInd w:val="0"/>
        <w:jc w:val="both"/>
        <w:rPr>
          <w:rFonts w:asciiTheme="minorHAnsi" w:eastAsiaTheme="minorHAnsi" w:hAnsiTheme="minorHAnsi" w:cstheme="minorHAnsi"/>
        </w:rPr>
      </w:pPr>
      <w:proofErr w:type="spellStart"/>
      <w:r w:rsidRPr="00A8361B">
        <w:rPr>
          <w:rFonts w:asciiTheme="minorHAnsi" w:eastAsiaTheme="minorHAnsi" w:hAnsiTheme="minorHAnsi" w:cstheme="minorHAnsi"/>
        </w:rPr>
        <w:t>Estadificación</w:t>
      </w:r>
      <w:proofErr w:type="spellEnd"/>
      <w:r w:rsidRPr="00A8361B">
        <w:rPr>
          <w:rFonts w:asciiTheme="minorHAnsi" w:eastAsiaTheme="minorHAnsi" w:hAnsiTheme="minorHAnsi" w:cstheme="minorHAnsi"/>
        </w:rPr>
        <w:t xml:space="preserve"> primaria de pacientes con </w:t>
      </w:r>
      <w:proofErr w:type="spellStart"/>
      <w:r w:rsidRPr="00A8361B">
        <w:rPr>
          <w:rFonts w:asciiTheme="minorHAnsi" w:eastAsiaTheme="minorHAnsi" w:hAnsiTheme="minorHAnsi" w:cstheme="minorHAnsi"/>
        </w:rPr>
        <w:t>CaP</w:t>
      </w:r>
      <w:proofErr w:type="spellEnd"/>
      <w:r w:rsidRPr="00A8361B">
        <w:rPr>
          <w:rFonts w:asciiTheme="minorHAnsi" w:eastAsiaTheme="minorHAnsi" w:hAnsiTheme="minorHAnsi" w:cstheme="minorHAnsi"/>
        </w:rPr>
        <w:t xml:space="preserve"> de alto riesgo antes del tratamiento curativo inicial.</w:t>
      </w:r>
    </w:p>
    <w:p w:rsidR="004D5838" w:rsidRPr="00A8361B" w:rsidRDefault="004D5838" w:rsidP="004D5838">
      <w:pPr>
        <w:pStyle w:val="Prrafodelista"/>
        <w:numPr>
          <w:ilvl w:val="2"/>
          <w:numId w:val="26"/>
        </w:numPr>
        <w:autoSpaceDE w:val="0"/>
        <w:autoSpaceDN w:val="0"/>
        <w:adjustRightInd w:val="0"/>
        <w:jc w:val="both"/>
        <w:rPr>
          <w:rFonts w:asciiTheme="minorHAnsi" w:eastAsiaTheme="minorHAnsi" w:hAnsiTheme="minorHAnsi" w:cstheme="minorHAnsi"/>
        </w:rPr>
      </w:pPr>
      <w:r w:rsidRPr="00A8361B">
        <w:rPr>
          <w:rFonts w:asciiTheme="minorHAnsi" w:eastAsiaTheme="minorHAnsi" w:hAnsiTheme="minorHAnsi" w:cstheme="minorHAnsi"/>
        </w:rPr>
        <w:t xml:space="preserve">Localización de recurrencias de </w:t>
      </w:r>
      <w:proofErr w:type="spellStart"/>
      <w:r w:rsidRPr="00A8361B">
        <w:rPr>
          <w:rFonts w:asciiTheme="minorHAnsi" w:eastAsiaTheme="minorHAnsi" w:hAnsiTheme="minorHAnsi" w:cstheme="minorHAnsi"/>
        </w:rPr>
        <w:t>CaP</w:t>
      </w:r>
      <w:proofErr w:type="spellEnd"/>
      <w:r w:rsidRPr="00A8361B">
        <w:rPr>
          <w:rFonts w:asciiTheme="minorHAnsi" w:eastAsiaTheme="minorHAnsi" w:hAnsiTheme="minorHAnsi" w:cstheme="minorHAnsi"/>
        </w:rPr>
        <w:t xml:space="preserve"> en pacientes con sospecha de recidiva basada en el aumento de los niveles séricos de antígeno prostático específico (PSA) después del tratamiento primario con intención curativa.</w:t>
      </w:r>
    </w:p>
    <w:p w:rsidR="004D5838" w:rsidRPr="00A8361B" w:rsidRDefault="004D5838" w:rsidP="004D5838">
      <w:pPr>
        <w:autoSpaceDE w:val="0"/>
        <w:autoSpaceDN w:val="0"/>
        <w:adjustRightInd w:val="0"/>
        <w:ind w:left="2149"/>
        <w:jc w:val="both"/>
        <w:rPr>
          <w:rFonts w:asciiTheme="minorHAnsi" w:eastAsiaTheme="minorHAnsi" w:hAnsiTheme="minorHAnsi" w:cstheme="minorHAnsi"/>
        </w:rPr>
      </w:pPr>
    </w:p>
    <w:p w:rsidR="008F21B6" w:rsidRPr="00D82C2E" w:rsidRDefault="004F09FD" w:rsidP="00D82C2E">
      <w:pPr>
        <w:numPr>
          <w:ilvl w:val="2"/>
          <w:numId w:val="34"/>
        </w:numPr>
        <w:jc w:val="both"/>
        <w:rPr>
          <w:rFonts w:eastAsia="Times New Roman" w:cs="Calibri"/>
          <w:b/>
          <w:u w:val="single"/>
          <w:lang w:eastAsia="es-ES"/>
        </w:rPr>
      </w:pPr>
      <w:r w:rsidRPr="00D82C2E">
        <w:rPr>
          <w:rFonts w:eastAsia="Times New Roman" w:cs="Calibri"/>
          <w:b/>
          <w:u w:val="single"/>
          <w:lang w:eastAsia="es-ES"/>
        </w:rPr>
        <w:t>OTROS PRINCIPIOS ACTIVOS</w:t>
      </w:r>
    </w:p>
    <w:p w:rsidR="008F21B6" w:rsidRPr="00A8361B" w:rsidRDefault="008F21B6" w:rsidP="008F21B6">
      <w:pPr>
        <w:ind w:left="858"/>
        <w:jc w:val="both"/>
        <w:rPr>
          <w:rFonts w:eastAsia="Times New Roman" w:cs="Arial"/>
          <w:b/>
          <w:u w:val="single"/>
          <w:lang w:eastAsia="es-ES"/>
        </w:rPr>
      </w:pPr>
    </w:p>
    <w:p w:rsidR="00443B33" w:rsidRPr="00A8361B" w:rsidRDefault="008F21B6" w:rsidP="00F065CF">
      <w:pPr>
        <w:pStyle w:val="Prrafodelista"/>
        <w:widowControl w:val="0"/>
        <w:numPr>
          <w:ilvl w:val="0"/>
          <w:numId w:val="17"/>
        </w:numPr>
        <w:autoSpaceDE w:val="0"/>
        <w:autoSpaceDN w:val="0"/>
        <w:adjustRightInd w:val="0"/>
        <w:ind w:left="284" w:firstLine="207"/>
        <w:jc w:val="both"/>
        <w:rPr>
          <w:rFonts w:asciiTheme="minorHAnsi" w:eastAsiaTheme="minorHAnsi" w:hAnsiTheme="minorHAnsi" w:cstheme="minorHAnsi"/>
          <w:u w:val="single"/>
        </w:rPr>
      </w:pPr>
      <w:r w:rsidRPr="00A8361B">
        <w:rPr>
          <w:rFonts w:asciiTheme="minorHAnsi" w:eastAsiaTheme="minorHAnsi" w:hAnsiTheme="minorHAnsi" w:cstheme="minorHAnsi"/>
        </w:rPr>
        <w:t xml:space="preserve"> </w:t>
      </w:r>
      <w:proofErr w:type="spellStart"/>
      <w:r w:rsidR="005E79E0" w:rsidRPr="00A8361B">
        <w:rPr>
          <w:rFonts w:asciiTheme="minorHAnsi" w:eastAsiaTheme="minorHAnsi" w:hAnsiTheme="minorHAnsi" w:cstheme="minorHAnsi"/>
          <w:b/>
          <w:u w:val="single"/>
        </w:rPr>
        <w:t>Atezolizumab</w:t>
      </w:r>
      <w:proofErr w:type="spellEnd"/>
      <w:r w:rsidR="00443B33" w:rsidRPr="00A8361B">
        <w:rPr>
          <w:rFonts w:asciiTheme="minorHAnsi" w:eastAsiaTheme="minorHAnsi" w:hAnsiTheme="minorHAnsi" w:cstheme="minorHAnsi"/>
          <w:b/>
          <w:u w:val="single"/>
        </w:rPr>
        <w:t xml:space="preserve"> – </w:t>
      </w:r>
      <w:r w:rsidR="005E79E0" w:rsidRPr="00A8361B">
        <w:rPr>
          <w:rFonts w:asciiTheme="minorHAnsi" w:eastAsiaTheme="minorHAnsi" w:hAnsiTheme="minorHAnsi" w:cstheme="minorHAnsi"/>
          <w:b/>
          <w:u w:val="single"/>
        </w:rPr>
        <w:t>L01FF05</w:t>
      </w:r>
      <w:r w:rsidRPr="00A8361B">
        <w:rPr>
          <w:rFonts w:asciiTheme="minorHAnsi" w:eastAsiaTheme="minorHAnsi" w:hAnsiTheme="minorHAnsi" w:cstheme="minorHAnsi"/>
          <w:b/>
          <w:u w:val="single"/>
        </w:rPr>
        <w:t xml:space="preserve"> (Nueva dosis)</w:t>
      </w:r>
    </w:p>
    <w:p w:rsidR="00443B33" w:rsidRPr="00A8361B" w:rsidRDefault="00443B33" w:rsidP="00443B33">
      <w:pPr>
        <w:jc w:val="both"/>
        <w:rPr>
          <w:rFonts w:asciiTheme="minorHAnsi" w:eastAsiaTheme="minorHAnsi" w:hAnsiTheme="minorHAnsi" w:cstheme="minorHAnsi"/>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69"/>
        <w:gridCol w:w="4076"/>
        <w:gridCol w:w="425"/>
        <w:gridCol w:w="567"/>
        <w:gridCol w:w="567"/>
        <w:gridCol w:w="1134"/>
        <w:gridCol w:w="992"/>
      </w:tblGrid>
      <w:tr w:rsidR="00A8361B" w:rsidRPr="00A8361B" w:rsidTr="008E4B4E">
        <w:trPr>
          <w:trHeight w:val="196"/>
        </w:trPr>
        <w:tc>
          <w:tcPr>
            <w:tcW w:w="1169" w:type="dxa"/>
            <w:shd w:val="solid" w:color="D9D9D9" w:themeColor="background1" w:themeShade="D9" w:fill="FFFFFF"/>
            <w:vAlign w:val="center"/>
          </w:tcPr>
          <w:p w:rsidR="00443B33" w:rsidRPr="00A8361B" w:rsidRDefault="00443B33" w:rsidP="008E4B4E">
            <w:pPr>
              <w:ind w:left="142" w:firstLine="207"/>
              <w:rPr>
                <w:rFonts w:asciiTheme="minorHAnsi" w:hAnsiTheme="minorHAnsi" w:cs="Arial"/>
                <w:b/>
                <w:sz w:val="20"/>
                <w:szCs w:val="20"/>
              </w:rPr>
            </w:pPr>
            <w:r w:rsidRPr="00A8361B">
              <w:rPr>
                <w:rFonts w:asciiTheme="minorHAnsi" w:hAnsiTheme="minorHAnsi" w:cs="Arial"/>
                <w:b/>
                <w:sz w:val="20"/>
                <w:szCs w:val="20"/>
              </w:rPr>
              <w:t>CN</w:t>
            </w:r>
          </w:p>
        </w:tc>
        <w:tc>
          <w:tcPr>
            <w:tcW w:w="4076" w:type="dxa"/>
            <w:shd w:val="solid" w:color="D9D9D9" w:themeColor="background1" w:themeShade="D9" w:fill="FFFFFF"/>
            <w:vAlign w:val="center"/>
          </w:tcPr>
          <w:p w:rsidR="00443B33" w:rsidRPr="00A8361B" w:rsidRDefault="00443B33" w:rsidP="008E4B4E">
            <w:pPr>
              <w:ind w:left="142" w:firstLine="207"/>
              <w:jc w:val="center"/>
              <w:rPr>
                <w:rFonts w:asciiTheme="minorHAnsi" w:hAnsiTheme="minorHAnsi" w:cs="Arial"/>
                <w:b/>
                <w:sz w:val="20"/>
                <w:szCs w:val="20"/>
              </w:rPr>
            </w:pPr>
            <w:r w:rsidRPr="00A8361B">
              <w:rPr>
                <w:rFonts w:asciiTheme="minorHAnsi" w:hAnsiTheme="minorHAnsi" w:cs="Arial"/>
                <w:b/>
                <w:sz w:val="20"/>
                <w:szCs w:val="20"/>
              </w:rPr>
              <w:t>NOMBRE</w:t>
            </w:r>
          </w:p>
        </w:tc>
        <w:tc>
          <w:tcPr>
            <w:tcW w:w="425" w:type="dxa"/>
            <w:shd w:val="solid" w:color="D9D9D9" w:themeColor="background1" w:themeShade="D9" w:fill="FFFFFF"/>
            <w:vAlign w:val="center"/>
          </w:tcPr>
          <w:p w:rsidR="00443B33" w:rsidRPr="00A8361B" w:rsidRDefault="00443B33" w:rsidP="008E4B4E">
            <w:pPr>
              <w:autoSpaceDE w:val="0"/>
              <w:autoSpaceDN w:val="0"/>
              <w:adjustRightInd w:val="0"/>
              <w:ind w:left="142" w:hanging="142"/>
              <w:jc w:val="center"/>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DH</w:t>
            </w:r>
          </w:p>
        </w:tc>
        <w:tc>
          <w:tcPr>
            <w:tcW w:w="567" w:type="dxa"/>
            <w:shd w:val="solid" w:color="D9D9D9" w:themeColor="background1" w:themeShade="D9" w:fill="FFFFFF"/>
            <w:vAlign w:val="center"/>
          </w:tcPr>
          <w:p w:rsidR="00443B33" w:rsidRPr="00A8361B" w:rsidRDefault="00443B33" w:rsidP="008E4B4E">
            <w:pPr>
              <w:autoSpaceDE w:val="0"/>
              <w:autoSpaceDN w:val="0"/>
              <w:adjustRightInd w:val="0"/>
              <w:ind w:left="142" w:hanging="28"/>
              <w:jc w:val="center"/>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UH</w:t>
            </w:r>
          </w:p>
        </w:tc>
        <w:tc>
          <w:tcPr>
            <w:tcW w:w="567" w:type="dxa"/>
            <w:shd w:val="solid" w:color="D9D9D9" w:themeColor="background1" w:themeShade="D9" w:fill="FFFFFF"/>
            <w:vAlign w:val="center"/>
          </w:tcPr>
          <w:p w:rsidR="00443B33" w:rsidRPr="00A8361B" w:rsidRDefault="00443B33" w:rsidP="008E4B4E">
            <w:pPr>
              <w:autoSpaceDE w:val="0"/>
              <w:autoSpaceDN w:val="0"/>
              <w:adjustRightInd w:val="0"/>
              <w:ind w:left="142" w:hanging="27"/>
              <w:jc w:val="center"/>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SCP</w:t>
            </w:r>
          </w:p>
        </w:tc>
        <w:tc>
          <w:tcPr>
            <w:tcW w:w="1134" w:type="dxa"/>
            <w:shd w:val="solid" w:color="D9D9D9" w:themeColor="background1" w:themeShade="D9" w:fill="FFFFFF"/>
            <w:vAlign w:val="center"/>
          </w:tcPr>
          <w:p w:rsidR="00443B33" w:rsidRPr="00A8361B" w:rsidRDefault="00443B33" w:rsidP="008E4B4E">
            <w:pPr>
              <w:autoSpaceDE w:val="0"/>
              <w:autoSpaceDN w:val="0"/>
              <w:adjustRightInd w:val="0"/>
              <w:ind w:left="142" w:hanging="29"/>
              <w:jc w:val="center"/>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Biosimilar</w:t>
            </w:r>
          </w:p>
        </w:tc>
        <w:tc>
          <w:tcPr>
            <w:tcW w:w="992" w:type="dxa"/>
            <w:shd w:val="solid" w:color="D9D9D9" w:themeColor="background1" w:themeShade="D9" w:fill="FFFFFF"/>
            <w:vAlign w:val="center"/>
          </w:tcPr>
          <w:p w:rsidR="00443B33" w:rsidRPr="00A8361B" w:rsidRDefault="00443B33" w:rsidP="008E4B4E">
            <w:pPr>
              <w:autoSpaceDE w:val="0"/>
              <w:autoSpaceDN w:val="0"/>
              <w:adjustRightInd w:val="0"/>
              <w:ind w:left="142" w:hanging="32"/>
              <w:jc w:val="center"/>
              <w:rPr>
                <w:rFonts w:asciiTheme="minorHAnsi" w:eastAsiaTheme="minorHAnsi" w:hAnsiTheme="minorHAnsi" w:cs="Arial"/>
                <w:b/>
                <w:bCs/>
                <w:sz w:val="20"/>
                <w:szCs w:val="20"/>
              </w:rPr>
            </w:pPr>
            <w:r w:rsidRPr="00A8361B">
              <w:rPr>
                <w:rFonts w:asciiTheme="minorHAnsi" w:eastAsiaTheme="minorHAnsi" w:hAnsiTheme="minorHAnsi" w:cs="Arial"/>
                <w:b/>
                <w:bCs/>
                <w:sz w:val="20"/>
                <w:szCs w:val="20"/>
              </w:rPr>
              <w:t>Huérfano</w:t>
            </w:r>
          </w:p>
        </w:tc>
      </w:tr>
      <w:tr w:rsidR="00A8361B" w:rsidRPr="00A8361B" w:rsidTr="008E4B4E">
        <w:trPr>
          <w:trHeight w:val="353"/>
        </w:trPr>
        <w:tc>
          <w:tcPr>
            <w:tcW w:w="1169" w:type="dxa"/>
            <w:shd w:val="solid" w:color="FFFFFF" w:fill="FFFFFF"/>
            <w:vAlign w:val="center"/>
          </w:tcPr>
          <w:p w:rsidR="00443B33" w:rsidRPr="00A8361B" w:rsidRDefault="008F21B6" w:rsidP="005E79E0">
            <w:pPr>
              <w:autoSpaceDE w:val="0"/>
              <w:autoSpaceDN w:val="0"/>
              <w:adjustRightInd w:val="0"/>
              <w:ind w:left="142" w:firstLine="207"/>
              <w:rPr>
                <w:rFonts w:asciiTheme="minorHAnsi" w:eastAsiaTheme="minorHAnsi" w:hAnsiTheme="minorHAnsi" w:cs="Arial"/>
                <w:sz w:val="20"/>
                <w:szCs w:val="20"/>
              </w:rPr>
            </w:pPr>
            <w:r w:rsidRPr="00A8361B">
              <w:rPr>
                <w:rFonts w:asciiTheme="minorHAnsi" w:eastAsiaTheme="minorHAnsi" w:hAnsiTheme="minorHAnsi" w:cs="Arial"/>
                <w:sz w:val="20"/>
                <w:szCs w:val="20"/>
              </w:rPr>
              <w:t>7640</w:t>
            </w:r>
            <w:r w:rsidR="005E79E0" w:rsidRPr="00A8361B">
              <w:rPr>
                <w:rFonts w:asciiTheme="minorHAnsi" w:eastAsiaTheme="minorHAnsi" w:hAnsiTheme="minorHAnsi" w:cs="Arial"/>
                <w:sz w:val="20"/>
                <w:szCs w:val="20"/>
              </w:rPr>
              <w:t>9</w:t>
            </w:r>
            <w:r w:rsidRPr="00A8361B">
              <w:rPr>
                <w:rFonts w:asciiTheme="minorHAnsi" w:eastAsiaTheme="minorHAnsi" w:hAnsiTheme="minorHAnsi" w:cs="Arial"/>
                <w:sz w:val="20"/>
                <w:szCs w:val="20"/>
              </w:rPr>
              <w:t>3</w:t>
            </w:r>
          </w:p>
        </w:tc>
        <w:tc>
          <w:tcPr>
            <w:tcW w:w="4076" w:type="dxa"/>
            <w:shd w:val="solid" w:color="FFFFFF" w:fill="FFFFFF"/>
            <w:vAlign w:val="center"/>
          </w:tcPr>
          <w:p w:rsidR="00443B33" w:rsidRPr="00A8361B" w:rsidRDefault="005E79E0" w:rsidP="008F21B6">
            <w:pPr>
              <w:autoSpaceDE w:val="0"/>
              <w:autoSpaceDN w:val="0"/>
              <w:adjustRightInd w:val="0"/>
              <w:rPr>
                <w:rFonts w:asciiTheme="minorHAnsi" w:eastAsiaTheme="minorHAnsi" w:hAnsiTheme="minorHAnsi" w:cs="Arial"/>
                <w:sz w:val="20"/>
                <w:szCs w:val="20"/>
              </w:rPr>
            </w:pPr>
            <w:r w:rsidRPr="00A8361B">
              <w:rPr>
                <w:rFonts w:asciiTheme="minorHAnsi" w:eastAsiaTheme="minorHAnsi" w:hAnsiTheme="minorHAnsi" w:cs="Arial"/>
                <w:sz w:val="20"/>
                <w:szCs w:val="20"/>
              </w:rPr>
              <w:t>TECENTRIQ 1875MG 1 VIAL DE 15ML SOLUCION INYECTABLE</w:t>
            </w:r>
          </w:p>
        </w:tc>
        <w:tc>
          <w:tcPr>
            <w:tcW w:w="425" w:type="dxa"/>
            <w:shd w:val="solid" w:color="FFFFFF" w:fill="FFFFFF"/>
            <w:vAlign w:val="center"/>
          </w:tcPr>
          <w:p w:rsidR="00443B33" w:rsidRPr="00A8361B" w:rsidRDefault="00443B33" w:rsidP="008E4B4E">
            <w:pPr>
              <w:ind w:left="142" w:firstLine="207"/>
            </w:pPr>
          </w:p>
        </w:tc>
        <w:tc>
          <w:tcPr>
            <w:tcW w:w="567" w:type="dxa"/>
            <w:shd w:val="solid" w:color="FFFFFF" w:fill="FFFFFF"/>
            <w:vAlign w:val="center"/>
          </w:tcPr>
          <w:p w:rsidR="00443B33" w:rsidRPr="00A8361B" w:rsidRDefault="00443B33" w:rsidP="008E4B4E">
            <w:pPr>
              <w:ind w:left="142" w:hanging="29"/>
              <w:jc w:val="center"/>
            </w:pPr>
            <w:r w:rsidRPr="00A8361B">
              <w:rPr>
                <w:rFonts w:asciiTheme="minorHAnsi" w:hAnsiTheme="minorHAnsi" w:cs="Courier New"/>
                <w:sz w:val="20"/>
                <w:szCs w:val="20"/>
              </w:rPr>
              <w:t>√</w:t>
            </w:r>
          </w:p>
        </w:tc>
        <w:tc>
          <w:tcPr>
            <w:tcW w:w="567" w:type="dxa"/>
            <w:shd w:val="solid" w:color="FFFFFF" w:fill="FFFFFF"/>
            <w:vAlign w:val="center"/>
          </w:tcPr>
          <w:p w:rsidR="00443B33" w:rsidRPr="00A8361B" w:rsidRDefault="00443B33" w:rsidP="008E4B4E">
            <w:pPr>
              <w:ind w:left="142" w:firstLine="207"/>
              <w:jc w:val="center"/>
            </w:pPr>
          </w:p>
        </w:tc>
        <w:tc>
          <w:tcPr>
            <w:tcW w:w="1134" w:type="dxa"/>
            <w:shd w:val="solid" w:color="FFFFFF" w:fill="FFFFFF"/>
            <w:vAlign w:val="center"/>
          </w:tcPr>
          <w:p w:rsidR="00443B33" w:rsidRPr="00A8361B" w:rsidRDefault="00443B33" w:rsidP="008E4B4E">
            <w:pPr>
              <w:ind w:left="142" w:firstLine="207"/>
              <w:jc w:val="center"/>
              <w:rPr>
                <w:rFonts w:asciiTheme="minorHAnsi" w:hAnsiTheme="minorHAnsi" w:cs="Courier New"/>
                <w:sz w:val="20"/>
                <w:szCs w:val="20"/>
              </w:rPr>
            </w:pPr>
          </w:p>
        </w:tc>
        <w:tc>
          <w:tcPr>
            <w:tcW w:w="992" w:type="dxa"/>
            <w:shd w:val="solid" w:color="FFFFFF" w:fill="FFFFFF"/>
            <w:vAlign w:val="center"/>
          </w:tcPr>
          <w:p w:rsidR="00443B33" w:rsidRPr="00A8361B" w:rsidRDefault="00443B33" w:rsidP="008E4B4E">
            <w:pPr>
              <w:ind w:left="142" w:hanging="31"/>
              <w:jc w:val="center"/>
            </w:pPr>
          </w:p>
        </w:tc>
      </w:tr>
    </w:tbl>
    <w:p w:rsidR="00443B33" w:rsidRPr="00A8361B" w:rsidRDefault="00443B33" w:rsidP="00443B33">
      <w:pPr>
        <w:ind w:left="349"/>
        <w:jc w:val="both"/>
        <w:rPr>
          <w:rFonts w:asciiTheme="minorHAnsi" w:eastAsiaTheme="minorHAnsi" w:hAnsiTheme="minorHAnsi" w:cstheme="minorHAnsi"/>
        </w:rPr>
      </w:pPr>
    </w:p>
    <w:p w:rsidR="00AC6285" w:rsidRPr="00A8361B" w:rsidRDefault="00443B33" w:rsidP="00616069">
      <w:pPr>
        <w:pStyle w:val="Prrafodelista"/>
        <w:numPr>
          <w:ilvl w:val="0"/>
          <w:numId w:val="16"/>
        </w:numPr>
        <w:ind w:left="1134"/>
        <w:jc w:val="both"/>
      </w:pPr>
      <w:r w:rsidRPr="00A8361B">
        <w:rPr>
          <w:rFonts w:asciiTheme="minorHAnsi" w:eastAsiaTheme="minorHAnsi" w:hAnsiTheme="minorHAnsi" w:cs="ArialMT"/>
          <w:b/>
          <w:u w:val="single"/>
        </w:rPr>
        <w:t>Indicaci</w:t>
      </w:r>
      <w:r w:rsidR="00AC6285" w:rsidRPr="00A8361B">
        <w:rPr>
          <w:rFonts w:asciiTheme="minorHAnsi" w:eastAsiaTheme="minorHAnsi" w:hAnsiTheme="minorHAnsi" w:cs="ArialMT"/>
          <w:b/>
          <w:u w:val="single"/>
        </w:rPr>
        <w:t xml:space="preserve">ones </w:t>
      </w:r>
      <w:r w:rsidRPr="00A8361B">
        <w:rPr>
          <w:rFonts w:asciiTheme="minorHAnsi" w:eastAsiaTheme="minorHAnsi" w:hAnsiTheme="minorHAnsi" w:cs="ArialMT"/>
          <w:b/>
          <w:u w:val="single"/>
        </w:rPr>
        <w:t>financiada</w:t>
      </w:r>
      <w:r w:rsidR="00AC6285" w:rsidRPr="00A8361B">
        <w:rPr>
          <w:rFonts w:asciiTheme="minorHAnsi" w:eastAsiaTheme="minorHAnsi" w:hAnsiTheme="minorHAnsi" w:cs="ArialMT"/>
          <w:b/>
          <w:u w:val="single"/>
        </w:rPr>
        <w:t>s</w:t>
      </w:r>
      <w:r w:rsidRPr="00A8361B">
        <w:rPr>
          <w:rFonts w:asciiTheme="minorHAnsi" w:eastAsiaTheme="minorHAnsi" w:hAnsiTheme="minorHAnsi" w:cs="ArialMT"/>
          <w:b/>
        </w:rPr>
        <w:t>:</w:t>
      </w:r>
    </w:p>
    <w:p w:rsidR="00AC6285" w:rsidRPr="00A8361B" w:rsidRDefault="00AC6285" w:rsidP="00616069">
      <w:pPr>
        <w:pStyle w:val="Prrafodelista"/>
        <w:numPr>
          <w:ilvl w:val="0"/>
          <w:numId w:val="16"/>
        </w:numPr>
        <w:autoSpaceDE w:val="0"/>
        <w:autoSpaceDN w:val="0"/>
        <w:adjustRightInd w:val="0"/>
        <w:ind w:left="1560"/>
        <w:jc w:val="both"/>
        <w:rPr>
          <w:rFonts w:asciiTheme="minorHAnsi" w:eastAsiaTheme="minorHAnsi" w:hAnsiTheme="minorHAnsi" w:cstheme="minorHAnsi"/>
          <w:i/>
          <w:iCs/>
        </w:rPr>
      </w:pPr>
      <w:proofErr w:type="spellStart"/>
      <w:r w:rsidRPr="00A8361B">
        <w:rPr>
          <w:rFonts w:asciiTheme="minorHAnsi" w:eastAsiaTheme="minorHAnsi" w:hAnsiTheme="minorHAnsi" w:cstheme="minorHAnsi"/>
        </w:rPr>
        <w:t>Tecentriq</w:t>
      </w:r>
      <w:proofErr w:type="spellEnd"/>
      <w:r w:rsidRPr="00A8361B">
        <w:rPr>
          <w:rFonts w:asciiTheme="minorHAnsi" w:eastAsiaTheme="minorHAnsi" w:hAnsiTheme="minorHAnsi" w:cstheme="minorHAnsi"/>
        </w:rPr>
        <w:t xml:space="preserve"> en monoterapia está indicado para el tratamiento de pacientes adultos con CU (carcinoma </w:t>
      </w:r>
      <w:proofErr w:type="spellStart"/>
      <w:r w:rsidRPr="00A8361B">
        <w:rPr>
          <w:rFonts w:asciiTheme="minorHAnsi" w:eastAsiaTheme="minorHAnsi" w:hAnsiTheme="minorHAnsi" w:cstheme="minorHAnsi"/>
        </w:rPr>
        <w:t>urotelial</w:t>
      </w:r>
      <w:proofErr w:type="spellEnd"/>
      <w:r w:rsidRPr="00A8361B">
        <w:rPr>
          <w:rFonts w:asciiTheme="minorHAnsi" w:eastAsiaTheme="minorHAnsi" w:hAnsiTheme="minorHAnsi" w:cstheme="minorHAnsi"/>
        </w:rPr>
        <w:t xml:space="preserve">) localmente avanzado o </w:t>
      </w:r>
      <w:proofErr w:type="spellStart"/>
      <w:r w:rsidRPr="00A8361B">
        <w:rPr>
          <w:rFonts w:asciiTheme="minorHAnsi" w:eastAsiaTheme="minorHAnsi" w:hAnsiTheme="minorHAnsi" w:cstheme="minorHAnsi"/>
        </w:rPr>
        <w:t>metastásico</w:t>
      </w:r>
      <w:proofErr w:type="spellEnd"/>
      <w:r w:rsidRPr="00A8361B">
        <w:rPr>
          <w:rFonts w:asciiTheme="minorHAnsi" w:eastAsiaTheme="minorHAnsi" w:hAnsiTheme="minorHAnsi" w:cstheme="minorHAnsi"/>
        </w:rPr>
        <w:t xml:space="preserve"> después de quimioterapia previa que contenga platino o en los que no son considerados aptos para el tratamiento con cisplatino y cuyos tumores tengan una expresión de PDL1 &gt; 5%, </w:t>
      </w:r>
      <w:r w:rsidRPr="00A8361B">
        <w:rPr>
          <w:rFonts w:asciiTheme="minorHAnsi" w:eastAsiaTheme="minorHAnsi" w:hAnsiTheme="minorHAnsi" w:cstheme="minorHAnsi"/>
          <w:b/>
          <w:bCs/>
        </w:rPr>
        <w:t xml:space="preserve">de manera restringida </w:t>
      </w:r>
      <w:r w:rsidRPr="00A8361B">
        <w:rPr>
          <w:rFonts w:asciiTheme="minorHAnsi" w:eastAsiaTheme="minorHAnsi" w:hAnsiTheme="minorHAnsi" w:cstheme="minorHAnsi"/>
          <w:i/>
          <w:iCs/>
        </w:rPr>
        <w:t xml:space="preserve">para el tratamiento de pacientes adultos con CU localmente avanzado o </w:t>
      </w:r>
      <w:proofErr w:type="spellStart"/>
      <w:r w:rsidRPr="00A8361B">
        <w:rPr>
          <w:rFonts w:asciiTheme="minorHAnsi" w:eastAsiaTheme="minorHAnsi" w:hAnsiTheme="minorHAnsi" w:cstheme="minorHAnsi"/>
          <w:i/>
          <w:iCs/>
        </w:rPr>
        <w:t>metastásico</w:t>
      </w:r>
      <w:proofErr w:type="spellEnd"/>
      <w:r w:rsidRPr="00A8361B">
        <w:rPr>
          <w:rFonts w:asciiTheme="minorHAnsi" w:eastAsiaTheme="minorHAnsi" w:hAnsiTheme="minorHAnsi" w:cstheme="minorHAnsi"/>
          <w:i/>
          <w:iCs/>
        </w:rPr>
        <w:t xml:space="preserve"> después de quimioterapia previa que contenga platino.</w:t>
      </w:r>
    </w:p>
    <w:p w:rsidR="00AC6285" w:rsidRPr="00A8361B" w:rsidRDefault="00AC6285" w:rsidP="00616069">
      <w:pPr>
        <w:pStyle w:val="Prrafodelista"/>
        <w:numPr>
          <w:ilvl w:val="0"/>
          <w:numId w:val="16"/>
        </w:numPr>
        <w:autoSpaceDE w:val="0"/>
        <w:autoSpaceDN w:val="0"/>
        <w:adjustRightInd w:val="0"/>
        <w:ind w:left="1560"/>
        <w:jc w:val="both"/>
        <w:rPr>
          <w:rFonts w:asciiTheme="minorHAnsi" w:eastAsiaTheme="minorHAnsi" w:hAnsiTheme="minorHAnsi" w:cstheme="minorHAnsi"/>
        </w:rPr>
      </w:pPr>
      <w:proofErr w:type="spellStart"/>
      <w:r w:rsidRPr="00A8361B">
        <w:rPr>
          <w:rFonts w:asciiTheme="minorHAnsi" w:eastAsiaTheme="minorHAnsi" w:hAnsiTheme="minorHAnsi" w:cstheme="minorHAnsi"/>
        </w:rPr>
        <w:t>Tecentriq</w:t>
      </w:r>
      <w:proofErr w:type="spellEnd"/>
      <w:r w:rsidRPr="00A8361B">
        <w:rPr>
          <w:rFonts w:asciiTheme="minorHAnsi" w:eastAsiaTheme="minorHAnsi" w:hAnsiTheme="minorHAnsi" w:cstheme="minorHAnsi"/>
        </w:rPr>
        <w:t xml:space="preserve"> en monoterapia está indicado como tratamiento adyuvante tras resección completa y quimioterapia basada en platino para pacientes adultos con CPNM (estadio temprano de cáncer de pulmón no </w:t>
      </w:r>
      <w:proofErr w:type="spellStart"/>
      <w:r w:rsidRPr="00A8361B">
        <w:rPr>
          <w:rFonts w:asciiTheme="minorHAnsi" w:eastAsiaTheme="minorHAnsi" w:hAnsiTheme="minorHAnsi" w:cstheme="minorHAnsi"/>
        </w:rPr>
        <w:t>microcitico</w:t>
      </w:r>
      <w:proofErr w:type="spellEnd"/>
      <w:r w:rsidRPr="00A8361B">
        <w:rPr>
          <w:rFonts w:asciiTheme="minorHAnsi" w:eastAsiaTheme="minorHAnsi" w:hAnsiTheme="minorHAnsi" w:cstheme="minorHAnsi"/>
        </w:rPr>
        <w:t xml:space="preserve">) con alto riesgo de recidiva, cuyos tumores </w:t>
      </w:r>
      <w:r w:rsidRPr="00A8361B">
        <w:rPr>
          <w:rFonts w:asciiTheme="minorHAnsi" w:eastAsiaTheme="minorHAnsi" w:hAnsiTheme="minorHAnsi" w:cstheme="minorHAnsi"/>
        </w:rPr>
        <w:lastRenderedPageBreak/>
        <w:t>expresen PD-L1 ≥ 50% en células tumorales (CT) que no presentan mutaciones de EGFR o ALK positivo.</w:t>
      </w:r>
    </w:p>
    <w:p w:rsidR="00AC6285" w:rsidRPr="00A8361B" w:rsidRDefault="00AC6285" w:rsidP="00616069">
      <w:pPr>
        <w:pStyle w:val="Prrafodelista"/>
        <w:numPr>
          <w:ilvl w:val="0"/>
          <w:numId w:val="16"/>
        </w:numPr>
        <w:autoSpaceDE w:val="0"/>
        <w:autoSpaceDN w:val="0"/>
        <w:adjustRightInd w:val="0"/>
        <w:ind w:left="1560"/>
        <w:jc w:val="both"/>
        <w:rPr>
          <w:rFonts w:asciiTheme="minorHAnsi" w:eastAsiaTheme="minorHAnsi" w:hAnsiTheme="minorHAnsi" w:cstheme="minorHAnsi"/>
          <w:i/>
          <w:iCs/>
        </w:rPr>
      </w:pPr>
      <w:proofErr w:type="spellStart"/>
      <w:r w:rsidRPr="00A8361B">
        <w:rPr>
          <w:rFonts w:asciiTheme="minorHAnsi" w:eastAsiaTheme="minorHAnsi" w:hAnsiTheme="minorHAnsi" w:cstheme="minorHAnsi"/>
        </w:rPr>
        <w:t>Tecentriq</w:t>
      </w:r>
      <w:proofErr w:type="spellEnd"/>
      <w:r w:rsidRPr="00A8361B">
        <w:rPr>
          <w:rFonts w:asciiTheme="minorHAnsi" w:eastAsiaTheme="minorHAnsi" w:hAnsiTheme="minorHAnsi" w:cstheme="minorHAnsi"/>
        </w:rPr>
        <w:t xml:space="preserve">, en combinación con </w:t>
      </w:r>
      <w:proofErr w:type="spellStart"/>
      <w:r w:rsidRPr="00A8361B">
        <w:rPr>
          <w:rFonts w:asciiTheme="minorHAnsi" w:eastAsiaTheme="minorHAnsi" w:hAnsiTheme="minorHAnsi" w:cstheme="minorHAnsi"/>
        </w:rPr>
        <w:t>bevacizumab</w:t>
      </w:r>
      <w:proofErr w:type="spellEnd"/>
      <w:r w:rsidRPr="00A8361B">
        <w:rPr>
          <w:rFonts w:asciiTheme="minorHAnsi" w:eastAsiaTheme="minorHAnsi" w:hAnsiTheme="minorHAnsi" w:cstheme="minorHAnsi"/>
        </w:rPr>
        <w:t xml:space="preserve">, </w:t>
      </w:r>
      <w:proofErr w:type="spellStart"/>
      <w:r w:rsidRPr="00A8361B">
        <w:rPr>
          <w:rFonts w:asciiTheme="minorHAnsi" w:eastAsiaTheme="minorHAnsi" w:hAnsiTheme="minorHAnsi" w:cstheme="minorHAnsi"/>
        </w:rPr>
        <w:t>paclitaxel</w:t>
      </w:r>
      <w:proofErr w:type="spellEnd"/>
      <w:r w:rsidRPr="00A8361B">
        <w:rPr>
          <w:rFonts w:asciiTheme="minorHAnsi" w:eastAsiaTheme="minorHAnsi" w:hAnsiTheme="minorHAnsi" w:cstheme="minorHAnsi"/>
        </w:rPr>
        <w:t xml:space="preserve"> y </w:t>
      </w:r>
      <w:proofErr w:type="spellStart"/>
      <w:r w:rsidRPr="00A8361B">
        <w:rPr>
          <w:rFonts w:asciiTheme="minorHAnsi" w:eastAsiaTheme="minorHAnsi" w:hAnsiTheme="minorHAnsi" w:cstheme="minorHAnsi"/>
        </w:rPr>
        <w:t>carboplatino</w:t>
      </w:r>
      <w:proofErr w:type="spellEnd"/>
      <w:r w:rsidRPr="00A8361B">
        <w:rPr>
          <w:rFonts w:asciiTheme="minorHAnsi" w:eastAsiaTheme="minorHAnsi" w:hAnsiTheme="minorHAnsi" w:cstheme="minorHAnsi"/>
        </w:rPr>
        <w:t xml:space="preserve">, está indicado para el tratamiento de primera línea de CPNM no escamoso </w:t>
      </w:r>
      <w:proofErr w:type="spellStart"/>
      <w:r w:rsidRPr="00A8361B">
        <w:rPr>
          <w:rFonts w:asciiTheme="minorHAnsi" w:eastAsiaTheme="minorHAnsi" w:hAnsiTheme="minorHAnsi" w:cstheme="minorHAnsi"/>
        </w:rPr>
        <w:t>metastásico</w:t>
      </w:r>
      <w:proofErr w:type="spellEnd"/>
      <w:r w:rsidRPr="00A8361B">
        <w:rPr>
          <w:rFonts w:asciiTheme="minorHAnsi" w:eastAsiaTheme="minorHAnsi" w:hAnsiTheme="minorHAnsi" w:cstheme="minorHAnsi"/>
        </w:rPr>
        <w:t xml:space="preserve"> en pacientes adultos. En pacientes con mutaciones de EGFR o ALK positivo, </w:t>
      </w:r>
      <w:proofErr w:type="spellStart"/>
      <w:r w:rsidRPr="00A8361B">
        <w:rPr>
          <w:rFonts w:asciiTheme="minorHAnsi" w:eastAsiaTheme="minorHAnsi" w:hAnsiTheme="minorHAnsi" w:cstheme="minorHAnsi"/>
        </w:rPr>
        <w:t>Tecentriq</w:t>
      </w:r>
      <w:proofErr w:type="spellEnd"/>
      <w:r w:rsidRPr="00A8361B">
        <w:rPr>
          <w:rFonts w:asciiTheme="minorHAnsi" w:eastAsiaTheme="minorHAnsi" w:hAnsiTheme="minorHAnsi" w:cstheme="minorHAnsi"/>
        </w:rPr>
        <w:t xml:space="preserve"> en combinación con </w:t>
      </w:r>
      <w:proofErr w:type="spellStart"/>
      <w:r w:rsidRPr="00A8361B">
        <w:rPr>
          <w:rFonts w:asciiTheme="minorHAnsi" w:eastAsiaTheme="minorHAnsi" w:hAnsiTheme="minorHAnsi" w:cstheme="minorHAnsi"/>
        </w:rPr>
        <w:t>bevacizumab</w:t>
      </w:r>
      <w:proofErr w:type="spellEnd"/>
      <w:r w:rsidRPr="00A8361B">
        <w:rPr>
          <w:rFonts w:asciiTheme="minorHAnsi" w:eastAsiaTheme="minorHAnsi" w:hAnsiTheme="minorHAnsi" w:cstheme="minorHAnsi"/>
        </w:rPr>
        <w:t xml:space="preserve">, </w:t>
      </w:r>
      <w:proofErr w:type="spellStart"/>
      <w:r w:rsidRPr="00A8361B">
        <w:rPr>
          <w:rFonts w:asciiTheme="minorHAnsi" w:eastAsiaTheme="minorHAnsi" w:hAnsiTheme="minorHAnsi" w:cstheme="minorHAnsi"/>
        </w:rPr>
        <w:t>paclitaxel</w:t>
      </w:r>
      <w:proofErr w:type="spellEnd"/>
      <w:r w:rsidRPr="00A8361B">
        <w:rPr>
          <w:rFonts w:asciiTheme="minorHAnsi" w:eastAsiaTheme="minorHAnsi" w:hAnsiTheme="minorHAnsi" w:cstheme="minorHAnsi"/>
        </w:rPr>
        <w:t xml:space="preserve"> y </w:t>
      </w:r>
      <w:proofErr w:type="spellStart"/>
      <w:r w:rsidRPr="00A8361B">
        <w:rPr>
          <w:rFonts w:asciiTheme="minorHAnsi" w:eastAsiaTheme="minorHAnsi" w:hAnsiTheme="minorHAnsi" w:cstheme="minorHAnsi"/>
        </w:rPr>
        <w:t>carboplatino</w:t>
      </w:r>
      <w:proofErr w:type="spellEnd"/>
      <w:r w:rsidRPr="00A8361B">
        <w:rPr>
          <w:rFonts w:asciiTheme="minorHAnsi" w:eastAsiaTheme="minorHAnsi" w:hAnsiTheme="minorHAnsi" w:cstheme="minorHAnsi"/>
        </w:rPr>
        <w:t xml:space="preserve"> está indicado solamente tras fallo de las terapias dirigidas. </w:t>
      </w:r>
      <w:r w:rsidRPr="00A8361B">
        <w:rPr>
          <w:rFonts w:asciiTheme="minorHAnsi" w:eastAsiaTheme="minorHAnsi" w:hAnsiTheme="minorHAnsi" w:cstheme="minorHAnsi"/>
          <w:b/>
          <w:bCs/>
        </w:rPr>
        <w:t xml:space="preserve">De manera restringida </w:t>
      </w:r>
      <w:r w:rsidRPr="00A8361B">
        <w:rPr>
          <w:rFonts w:asciiTheme="minorHAnsi" w:eastAsiaTheme="minorHAnsi" w:hAnsiTheme="minorHAnsi" w:cstheme="minorHAnsi"/>
          <w:i/>
          <w:iCs/>
        </w:rPr>
        <w:t>para pacientes adultos que cumplan los siguientes requisitos:</w:t>
      </w:r>
    </w:p>
    <w:p w:rsidR="00AC6285" w:rsidRPr="00A8361B" w:rsidRDefault="00AC6285" w:rsidP="00616069">
      <w:pPr>
        <w:pStyle w:val="Prrafodelista"/>
        <w:numPr>
          <w:ilvl w:val="2"/>
          <w:numId w:val="16"/>
        </w:numPr>
        <w:autoSpaceDE w:val="0"/>
        <w:autoSpaceDN w:val="0"/>
        <w:adjustRightInd w:val="0"/>
        <w:jc w:val="both"/>
        <w:rPr>
          <w:rFonts w:asciiTheme="minorHAnsi" w:eastAsiaTheme="minorHAnsi" w:hAnsiTheme="minorHAnsi" w:cstheme="minorHAnsi"/>
          <w:i/>
          <w:iCs/>
        </w:rPr>
      </w:pPr>
      <w:r w:rsidRPr="00A8361B">
        <w:rPr>
          <w:rFonts w:asciiTheme="minorHAnsi" w:eastAsiaTheme="minorHAnsi" w:hAnsiTheme="minorHAnsi" w:cstheme="minorHAnsi"/>
          <w:i/>
          <w:iCs/>
        </w:rPr>
        <w:t>pacientes con expresión PD-L1&lt;50%, negativa o no posible de realizar, en los que la terapia actual es la quimioterapia.</w:t>
      </w:r>
    </w:p>
    <w:p w:rsidR="00B95EDE" w:rsidRPr="00A8361B" w:rsidRDefault="00AC6285" w:rsidP="00616069">
      <w:pPr>
        <w:pStyle w:val="Prrafodelista"/>
        <w:numPr>
          <w:ilvl w:val="2"/>
          <w:numId w:val="16"/>
        </w:numPr>
        <w:autoSpaceDE w:val="0"/>
        <w:autoSpaceDN w:val="0"/>
        <w:adjustRightInd w:val="0"/>
        <w:jc w:val="both"/>
        <w:rPr>
          <w:rFonts w:asciiTheme="minorHAnsi" w:eastAsiaTheme="minorHAnsi" w:hAnsiTheme="minorHAnsi" w:cstheme="minorHAnsi"/>
          <w:i/>
          <w:iCs/>
        </w:rPr>
      </w:pPr>
      <w:r w:rsidRPr="00A8361B">
        <w:rPr>
          <w:rFonts w:asciiTheme="minorHAnsi" w:eastAsiaTheme="minorHAnsi" w:hAnsiTheme="minorHAnsi" w:cstheme="minorHAnsi"/>
          <w:i/>
          <w:iCs/>
        </w:rPr>
        <w:t>pacientes cuyos tumores no tengan mutaciones tumorales positivas de EGFR o ALK ante la existencia de otras alternativas de terapias dirigidas más coste-efectivas.</w:t>
      </w:r>
    </w:p>
    <w:p w:rsidR="00AC6285" w:rsidRPr="00A8361B" w:rsidRDefault="00616069" w:rsidP="00616069">
      <w:pPr>
        <w:pStyle w:val="Prrafodelista"/>
        <w:numPr>
          <w:ilvl w:val="0"/>
          <w:numId w:val="16"/>
        </w:numPr>
        <w:autoSpaceDE w:val="0"/>
        <w:autoSpaceDN w:val="0"/>
        <w:adjustRightInd w:val="0"/>
        <w:ind w:left="1560"/>
        <w:jc w:val="both"/>
        <w:rPr>
          <w:rFonts w:asciiTheme="minorHAnsi" w:eastAsiaTheme="minorHAnsi" w:hAnsiTheme="minorHAnsi" w:cstheme="minorHAnsi"/>
        </w:rPr>
      </w:pPr>
      <w:proofErr w:type="spellStart"/>
      <w:r w:rsidRPr="00A8361B">
        <w:rPr>
          <w:rFonts w:asciiTheme="minorHAnsi" w:eastAsiaTheme="minorHAnsi" w:hAnsiTheme="minorHAnsi" w:cstheme="minorHAnsi"/>
        </w:rPr>
        <w:t>T</w:t>
      </w:r>
      <w:r w:rsidR="00AC6285" w:rsidRPr="00A8361B">
        <w:rPr>
          <w:rFonts w:asciiTheme="minorHAnsi" w:eastAsiaTheme="minorHAnsi" w:hAnsiTheme="minorHAnsi" w:cstheme="minorHAnsi"/>
        </w:rPr>
        <w:t>ecentriq</w:t>
      </w:r>
      <w:proofErr w:type="spellEnd"/>
      <w:r w:rsidR="00AC6285" w:rsidRPr="00A8361B">
        <w:rPr>
          <w:rFonts w:asciiTheme="minorHAnsi" w:eastAsiaTheme="minorHAnsi" w:hAnsiTheme="minorHAnsi" w:cstheme="minorHAnsi"/>
        </w:rPr>
        <w:t xml:space="preserve"> en monoterapia está indicado para el tratamiento en primera línea de pacientes adultos con CPNM </w:t>
      </w:r>
      <w:proofErr w:type="spellStart"/>
      <w:r w:rsidR="00AC6285" w:rsidRPr="00A8361B">
        <w:rPr>
          <w:rFonts w:asciiTheme="minorHAnsi" w:eastAsiaTheme="minorHAnsi" w:hAnsiTheme="minorHAnsi" w:cstheme="minorHAnsi"/>
        </w:rPr>
        <w:t>metastásico</w:t>
      </w:r>
      <w:proofErr w:type="spellEnd"/>
      <w:r w:rsidR="00AC6285" w:rsidRPr="00A8361B">
        <w:rPr>
          <w:rFonts w:asciiTheme="minorHAnsi" w:eastAsiaTheme="minorHAnsi" w:hAnsiTheme="minorHAnsi" w:cstheme="minorHAnsi"/>
        </w:rPr>
        <w:t xml:space="preserve"> cuyos tumores tengan una expresión de PD-L1 ≥ 50% en CT o ≥ 10% de células inmunes infiltrantes de tumor (CI) y que no tengan mutaciones EGFR o reordenamiento ALK.</w:t>
      </w:r>
    </w:p>
    <w:p w:rsidR="00AC6285" w:rsidRPr="00A8361B" w:rsidRDefault="00AC6285" w:rsidP="00616069">
      <w:pPr>
        <w:pStyle w:val="Prrafodelista"/>
        <w:numPr>
          <w:ilvl w:val="0"/>
          <w:numId w:val="16"/>
        </w:numPr>
        <w:autoSpaceDE w:val="0"/>
        <w:autoSpaceDN w:val="0"/>
        <w:adjustRightInd w:val="0"/>
        <w:ind w:left="1560"/>
        <w:jc w:val="both"/>
        <w:rPr>
          <w:rFonts w:asciiTheme="minorHAnsi" w:eastAsiaTheme="minorHAnsi" w:hAnsiTheme="minorHAnsi" w:cstheme="minorHAnsi"/>
        </w:rPr>
      </w:pPr>
      <w:proofErr w:type="spellStart"/>
      <w:r w:rsidRPr="00A8361B">
        <w:rPr>
          <w:rFonts w:asciiTheme="minorHAnsi" w:eastAsiaTheme="minorHAnsi" w:hAnsiTheme="minorHAnsi" w:cstheme="minorHAnsi"/>
        </w:rPr>
        <w:t>Tecentriq</w:t>
      </w:r>
      <w:proofErr w:type="spellEnd"/>
      <w:r w:rsidRPr="00A8361B">
        <w:rPr>
          <w:rFonts w:asciiTheme="minorHAnsi" w:eastAsiaTheme="minorHAnsi" w:hAnsiTheme="minorHAnsi" w:cstheme="minorHAnsi"/>
        </w:rPr>
        <w:t xml:space="preserve"> en monoterapia está indicado para el tratamiento de pacientes adultos con CPNM localmente avanzado o </w:t>
      </w:r>
      <w:proofErr w:type="spellStart"/>
      <w:r w:rsidRPr="00A8361B">
        <w:rPr>
          <w:rFonts w:asciiTheme="minorHAnsi" w:eastAsiaTheme="minorHAnsi" w:hAnsiTheme="minorHAnsi" w:cstheme="minorHAnsi"/>
        </w:rPr>
        <w:t>metastásico</w:t>
      </w:r>
      <w:proofErr w:type="spellEnd"/>
      <w:r w:rsidRPr="00A8361B">
        <w:rPr>
          <w:rFonts w:asciiTheme="minorHAnsi" w:eastAsiaTheme="minorHAnsi" w:hAnsiTheme="minorHAnsi" w:cstheme="minorHAnsi"/>
        </w:rPr>
        <w:t xml:space="preserve"> después de quimioterapia previa. Los pacientes con mutaciones de EGFR o reordenamiento ALK deben haber sido tratados también con terapias dirigidas antes de ser tratados con </w:t>
      </w:r>
      <w:proofErr w:type="spellStart"/>
      <w:r w:rsidRPr="00A8361B">
        <w:rPr>
          <w:rFonts w:asciiTheme="minorHAnsi" w:eastAsiaTheme="minorHAnsi" w:hAnsiTheme="minorHAnsi" w:cstheme="minorHAnsi"/>
        </w:rPr>
        <w:t>Tecentriq</w:t>
      </w:r>
      <w:proofErr w:type="spellEnd"/>
      <w:r w:rsidRPr="00A8361B">
        <w:rPr>
          <w:rFonts w:asciiTheme="minorHAnsi" w:eastAsiaTheme="minorHAnsi" w:hAnsiTheme="minorHAnsi" w:cstheme="minorHAnsi"/>
        </w:rPr>
        <w:t>.</w:t>
      </w:r>
    </w:p>
    <w:p w:rsidR="00AC6285" w:rsidRPr="00A8361B" w:rsidRDefault="00AC6285" w:rsidP="00616069">
      <w:pPr>
        <w:pStyle w:val="Prrafodelista"/>
        <w:numPr>
          <w:ilvl w:val="0"/>
          <w:numId w:val="16"/>
        </w:numPr>
        <w:autoSpaceDE w:val="0"/>
        <w:autoSpaceDN w:val="0"/>
        <w:adjustRightInd w:val="0"/>
        <w:ind w:left="1560"/>
        <w:jc w:val="both"/>
        <w:rPr>
          <w:rFonts w:asciiTheme="minorHAnsi" w:eastAsiaTheme="minorHAnsi" w:hAnsiTheme="minorHAnsi" w:cstheme="minorHAnsi"/>
        </w:rPr>
      </w:pPr>
      <w:proofErr w:type="spellStart"/>
      <w:r w:rsidRPr="00A8361B">
        <w:rPr>
          <w:rFonts w:asciiTheme="minorHAnsi" w:eastAsiaTheme="minorHAnsi" w:hAnsiTheme="minorHAnsi" w:cstheme="minorHAnsi"/>
        </w:rPr>
        <w:t>Tecentriq</w:t>
      </w:r>
      <w:proofErr w:type="spellEnd"/>
      <w:r w:rsidRPr="00A8361B">
        <w:rPr>
          <w:rFonts w:asciiTheme="minorHAnsi" w:eastAsiaTheme="minorHAnsi" w:hAnsiTheme="minorHAnsi" w:cstheme="minorHAnsi"/>
        </w:rPr>
        <w:t xml:space="preserve">, en combinación con </w:t>
      </w:r>
      <w:proofErr w:type="spellStart"/>
      <w:r w:rsidRPr="00A8361B">
        <w:rPr>
          <w:rFonts w:asciiTheme="minorHAnsi" w:eastAsiaTheme="minorHAnsi" w:hAnsiTheme="minorHAnsi" w:cstheme="minorHAnsi"/>
        </w:rPr>
        <w:t>carboplatino</w:t>
      </w:r>
      <w:proofErr w:type="spellEnd"/>
      <w:r w:rsidRPr="00A8361B">
        <w:rPr>
          <w:rFonts w:asciiTheme="minorHAnsi" w:eastAsiaTheme="minorHAnsi" w:hAnsiTheme="minorHAnsi" w:cstheme="minorHAnsi"/>
        </w:rPr>
        <w:t xml:space="preserve"> y </w:t>
      </w:r>
      <w:proofErr w:type="spellStart"/>
      <w:r w:rsidRPr="00A8361B">
        <w:rPr>
          <w:rFonts w:asciiTheme="minorHAnsi" w:eastAsiaTheme="minorHAnsi" w:hAnsiTheme="minorHAnsi" w:cstheme="minorHAnsi"/>
        </w:rPr>
        <w:t>etopósido</w:t>
      </w:r>
      <w:proofErr w:type="spellEnd"/>
      <w:r w:rsidRPr="00A8361B">
        <w:rPr>
          <w:rFonts w:asciiTheme="minorHAnsi" w:eastAsiaTheme="minorHAnsi" w:hAnsiTheme="minorHAnsi" w:cstheme="minorHAnsi"/>
        </w:rPr>
        <w:t xml:space="preserve">, está indicado para el tratamiento de primera línea de cáncer de pulmón </w:t>
      </w:r>
      <w:proofErr w:type="spellStart"/>
      <w:r w:rsidRPr="00A8361B">
        <w:rPr>
          <w:rFonts w:asciiTheme="minorHAnsi" w:eastAsiaTheme="minorHAnsi" w:hAnsiTheme="minorHAnsi" w:cstheme="minorHAnsi"/>
        </w:rPr>
        <w:t>microcítico</w:t>
      </w:r>
      <w:proofErr w:type="spellEnd"/>
      <w:r w:rsidRPr="00A8361B">
        <w:rPr>
          <w:rFonts w:asciiTheme="minorHAnsi" w:eastAsiaTheme="minorHAnsi" w:hAnsiTheme="minorHAnsi" w:cstheme="minorHAnsi"/>
        </w:rPr>
        <w:t xml:space="preserve"> en estadio extendido (CPM-EE) en pacientes adultos.</w:t>
      </w:r>
    </w:p>
    <w:p w:rsidR="00AC6285" w:rsidRPr="00A8361B" w:rsidRDefault="00AC6285" w:rsidP="00616069">
      <w:pPr>
        <w:pStyle w:val="Prrafodelista"/>
        <w:numPr>
          <w:ilvl w:val="0"/>
          <w:numId w:val="16"/>
        </w:numPr>
        <w:autoSpaceDE w:val="0"/>
        <w:autoSpaceDN w:val="0"/>
        <w:adjustRightInd w:val="0"/>
        <w:ind w:left="1560"/>
        <w:jc w:val="both"/>
        <w:rPr>
          <w:rFonts w:asciiTheme="minorHAnsi" w:eastAsiaTheme="minorHAnsi" w:hAnsiTheme="minorHAnsi" w:cstheme="minorHAnsi"/>
          <w:i/>
          <w:iCs/>
        </w:rPr>
      </w:pPr>
      <w:proofErr w:type="spellStart"/>
      <w:r w:rsidRPr="00A8361B">
        <w:rPr>
          <w:rFonts w:asciiTheme="minorHAnsi" w:eastAsiaTheme="minorHAnsi" w:hAnsiTheme="minorHAnsi" w:cstheme="minorHAnsi"/>
        </w:rPr>
        <w:t>Tecentriq</w:t>
      </w:r>
      <w:proofErr w:type="spellEnd"/>
      <w:r w:rsidRPr="00A8361B">
        <w:rPr>
          <w:rFonts w:asciiTheme="minorHAnsi" w:eastAsiaTheme="minorHAnsi" w:hAnsiTheme="minorHAnsi" w:cstheme="minorHAnsi"/>
        </w:rPr>
        <w:t xml:space="preserve"> en combinación con </w:t>
      </w:r>
      <w:proofErr w:type="spellStart"/>
      <w:r w:rsidRPr="00A8361B">
        <w:rPr>
          <w:rFonts w:asciiTheme="minorHAnsi" w:eastAsiaTheme="minorHAnsi" w:hAnsiTheme="minorHAnsi" w:cstheme="minorHAnsi"/>
        </w:rPr>
        <w:t>nab-paclitaxel</w:t>
      </w:r>
      <w:proofErr w:type="spellEnd"/>
      <w:r w:rsidRPr="00A8361B">
        <w:rPr>
          <w:rFonts w:asciiTheme="minorHAnsi" w:eastAsiaTheme="minorHAnsi" w:hAnsiTheme="minorHAnsi" w:cstheme="minorHAnsi"/>
        </w:rPr>
        <w:t xml:space="preserve"> está indicado para el tratamiento de pacientes adultos con CMTN (cáncer de mama triple negativo) localmente avanzado </w:t>
      </w:r>
      <w:proofErr w:type="spellStart"/>
      <w:r w:rsidRPr="00A8361B">
        <w:rPr>
          <w:rFonts w:asciiTheme="minorHAnsi" w:eastAsiaTheme="minorHAnsi" w:hAnsiTheme="minorHAnsi" w:cstheme="minorHAnsi"/>
        </w:rPr>
        <w:t>irresecable</w:t>
      </w:r>
      <w:proofErr w:type="spellEnd"/>
      <w:r w:rsidRPr="00A8361B">
        <w:rPr>
          <w:rFonts w:asciiTheme="minorHAnsi" w:eastAsiaTheme="minorHAnsi" w:hAnsiTheme="minorHAnsi" w:cstheme="minorHAnsi"/>
        </w:rPr>
        <w:t xml:space="preserve"> o </w:t>
      </w:r>
      <w:proofErr w:type="spellStart"/>
      <w:r w:rsidRPr="00A8361B">
        <w:rPr>
          <w:rFonts w:asciiTheme="minorHAnsi" w:eastAsiaTheme="minorHAnsi" w:hAnsiTheme="minorHAnsi" w:cstheme="minorHAnsi"/>
        </w:rPr>
        <w:t>metastásico</w:t>
      </w:r>
      <w:proofErr w:type="spellEnd"/>
      <w:r w:rsidRPr="00A8361B">
        <w:rPr>
          <w:rFonts w:asciiTheme="minorHAnsi" w:eastAsiaTheme="minorHAnsi" w:hAnsiTheme="minorHAnsi" w:cstheme="minorHAnsi"/>
        </w:rPr>
        <w:t xml:space="preserve"> cuyos tumores tengan una expresión de PD-L1 ≥ 1% y que no hayan recibido quimioterapia previa frente a la metástasis </w:t>
      </w:r>
      <w:r w:rsidRPr="00A8361B">
        <w:rPr>
          <w:rFonts w:asciiTheme="minorHAnsi" w:eastAsiaTheme="minorHAnsi" w:hAnsiTheme="minorHAnsi" w:cstheme="minorHAnsi"/>
          <w:b/>
          <w:bCs/>
        </w:rPr>
        <w:t xml:space="preserve">de manera restringida </w:t>
      </w:r>
      <w:r w:rsidRPr="00A8361B">
        <w:rPr>
          <w:rFonts w:asciiTheme="minorHAnsi" w:eastAsiaTheme="minorHAnsi" w:hAnsiTheme="minorHAnsi" w:cstheme="minorHAnsi"/>
          <w:i/>
          <w:iCs/>
        </w:rPr>
        <w:t xml:space="preserve">en pacientes adultos que presenten ECOG 0-1 con cáncer de mama triple negativo localmente avanzado </w:t>
      </w:r>
      <w:proofErr w:type="spellStart"/>
      <w:r w:rsidRPr="00A8361B">
        <w:rPr>
          <w:rFonts w:asciiTheme="minorHAnsi" w:eastAsiaTheme="minorHAnsi" w:hAnsiTheme="minorHAnsi" w:cstheme="minorHAnsi"/>
          <w:i/>
          <w:iCs/>
        </w:rPr>
        <w:t>irresecable</w:t>
      </w:r>
      <w:proofErr w:type="spellEnd"/>
      <w:r w:rsidRPr="00A8361B">
        <w:rPr>
          <w:rFonts w:asciiTheme="minorHAnsi" w:eastAsiaTheme="minorHAnsi" w:hAnsiTheme="minorHAnsi" w:cstheme="minorHAnsi"/>
          <w:i/>
          <w:iCs/>
        </w:rPr>
        <w:t xml:space="preserve"> o </w:t>
      </w:r>
      <w:proofErr w:type="spellStart"/>
      <w:r w:rsidRPr="00A8361B">
        <w:rPr>
          <w:rFonts w:asciiTheme="minorHAnsi" w:eastAsiaTheme="minorHAnsi" w:hAnsiTheme="minorHAnsi" w:cstheme="minorHAnsi"/>
          <w:i/>
          <w:iCs/>
        </w:rPr>
        <w:t>metastásico</w:t>
      </w:r>
      <w:proofErr w:type="spellEnd"/>
      <w:r w:rsidRPr="00A8361B">
        <w:rPr>
          <w:rFonts w:asciiTheme="minorHAnsi" w:eastAsiaTheme="minorHAnsi" w:hAnsiTheme="minorHAnsi" w:cstheme="minorHAnsi"/>
          <w:i/>
          <w:iCs/>
        </w:rPr>
        <w:t xml:space="preserve"> cuyos tumores tengan una expresión de PD-L1≥1% y en pacientes sin tratamiento previo con </w:t>
      </w:r>
      <w:proofErr w:type="spellStart"/>
      <w:r w:rsidRPr="00A8361B">
        <w:rPr>
          <w:rFonts w:asciiTheme="minorHAnsi" w:eastAsiaTheme="minorHAnsi" w:hAnsiTheme="minorHAnsi" w:cstheme="minorHAnsi"/>
          <w:i/>
          <w:iCs/>
        </w:rPr>
        <w:t>antraciclinas</w:t>
      </w:r>
      <w:proofErr w:type="spellEnd"/>
      <w:r w:rsidRPr="00A8361B">
        <w:rPr>
          <w:rFonts w:asciiTheme="minorHAnsi" w:eastAsiaTheme="minorHAnsi" w:hAnsiTheme="minorHAnsi" w:cstheme="minorHAnsi"/>
          <w:i/>
          <w:iCs/>
        </w:rPr>
        <w:t>.</w:t>
      </w:r>
    </w:p>
    <w:p w:rsidR="00AC6285" w:rsidRPr="00A8361B" w:rsidRDefault="00AC6285" w:rsidP="00616069">
      <w:pPr>
        <w:pStyle w:val="Prrafodelista"/>
        <w:numPr>
          <w:ilvl w:val="0"/>
          <w:numId w:val="16"/>
        </w:numPr>
        <w:autoSpaceDE w:val="0"/>
        <w:autoSpaceDN w:val="0"/>
        <w:adjustRightInd w:val="0"/>
        <w:ind w:left="1560"/>
        <w:jc w:val="both"/>
        <w:rPr>
          <w:rFonts w:asciiTheme="minorHAnsi" w:eastAsiaTheme="minorHAnsi" w:hAnsiTheme="minorHAnsi" w:cstheme="minorHAnsi"/>
          <w:i/>
          <w:iCs/>
        </w:rPr>
      </w:pPr>
      <w:proofErr w:type="spellStart"/>
      <w:r w:rsidRPr="00A8361B">
        <w:rPr>
          <w:rFonts w:asciiTheme="minorHAnsi" w:eastAsiaTheme="minorHAnsi" w:hAnsiTheme="minorHAnsi" w:cstheme="minorHAnsi"/>
        </w:rPr>
        <w:t>Tecentriq</w:t>
      </w:r>
      <w:proofErr w:type="spellEnd"/>
      <w:r w:rsidRPr="00A8361B">
        <w:rPr>
          <w:rFonts w:asciiTheme="minorHAnsi" w:eastAsiaTheme="minorHAnsi" w:hAnsiTheme="minorHAnsi" w:cstheme="minorHAnsi"/>
        </w:rPr>
        <w:t xml:space="preserve">, en combinación con </w:t>
      </w:r>
      <w:proofErr w:type="spellStart"/>
      <w:r w:rsidRPr="00A8361B">
        <w:rPr>
          <w:rFonts w:asciiTheme="minorHAnsi" w:eastAsiaTheme="minorHAnsi" w:hAnsiTheme="minorHAnsi" w:cstheme="minorHAnsi"/>
        </w:rPr>
        <w:t>bevacizumab</w:t>
      </w:r>
      <w:proofErr w:type="spellEnd"/>
      <w:r w:rsidRPr="00A8361B">
        <w:rPr>
          <w:rFonts w:asciiTheme="minorHAnsi" w:eastAsiaTheme="minorHAnsi" w:hAnsiTheme="minorHAnsi" w:cstheme="minorHAnsi"/>
        </w:rPr>
        <w:t xml:space="preserve">, está indicado para el tratamiento de pacientes adultos con CHC (carcinoma </w:t>
      </w:r>
      <w:proofErr w:type="spellStart"/>
      <w:r w:rsidRPr="00A8361B">
        <w:rPr>
          <w:rFonts w:asciiTheme="minorHAnsi" w:eastAsiaTheme="minorHAnsi" w:hAnsiTheme="minorHAnsi" w:cstheme="minorHAnsi"/>
        </w:rPr>
        <w:t>hepatocelular</w:t>
      </w:r>
      <w:proofErr w:type="spellEnd"/>
      <w:r w:rsidRPr="00A8361B">
        <w:rPr>
          <w:rFonts w:asciiTheme="minorHAnsi" w:eastAsiaTheme="minorHAnsi" w:hAnsiTheme="minorHAnsi" w:cstheme="minorHAnsi"/>
        </w:rPr>
        <w:t xml:space="preserve">) avanzado o </w:t>
      </w:r>
      <w:proofErr w:type="spellStart"/>
      <w:r w:rsidRPr="00A8361B">
        <w:rPr>
          <w:rFonts w:asciiTheme="minorHAnsi" w:eastAsiaTheme="minorHAnsi" w:hAnsiTheme="minorHAnsi" w:cstheme="minorHAnsi"/>
        </w:rPr>
        <w:t>irresecable</w:t>
      </w:r>
      <w:proofErr w:type="spellEnd"/>
      <w:r w:rsidRPr="00A8361B">
        <w:rPr>
          <w:rFonts w:asciiTheme="minorHAnsi" w:eastAsiaTheme="minorHAnsi" w:hAnsiTheme="minorHAnsi" w:cstheme="minorHAnsi"/>
        </w:rPr>
        <w:t xml:space="preserve"> que no ha recibido terapia sistémica previa </w:t>
      </w:r>
      <w:r w:rsidRPr="00A8361B">
        <w:rPr>
          <w:rFonts w:asciiTheme="minorHAnsi" w:eastAsiaTheme="minorHAnsi" w:hAnsiTheme="minorHAnsi" w:cstheme="minorHAnsi"/>
          <w:b/>
          <w:bCs/>
        </w:rPr>
        <w:t xml:space="preserve">de manera restringida </w:t>
      </w:r>
      <w:r w:rsidRPr="00A8361B">
        <w:rPr>
          <w:rFonts w:asciiTheme="minorHAnsi" w:eastAsiaTheme="minorHAnsi" w:hAnsiTheme="minorHAnsi" w:cstheme="minorHAnsi"/>
          <w:i/>
          <w:iCs/>
        </w:rPr>
        <w:t>en pacientes con función hepática (</w:t>
      </w:r>
      <w:proofErr w:type="spellStart"/>
      <w:r w:rsidRPr="00A8361B">
        <w:rPr>
          <w:rFonts w:asciiTheme="minorHAnsi" w:eastAsiaTheme="minorHAnsi" w:hAnsiTheme="minorHAnsi" w:cstheme="minorHAnsi"/>
          <w:i/>
          <w:iCs/>
        </w:rPr>
        <w:t>Child-Pugh</w:t>
      </w:r>
      <w:proofErr w:type="spellEnd"/>
      <w:r w:rsidRPr="00A8361B">
        <w:rPr>
          <w:rFonts w:asciiTheme="minorHAnsi" w:eastAsiaTheme="minorHAnsi" w:hAnsiTheme="minorHAnsi" w:cstheme="minorHAnsi"/>
          <w:i/>
          <w:iCs/>
        </w:rPr>
        <w:t xml:space="preserve"> estadio A), una puntuación ECOG de 0 o 1, en ausencia de varices </w:t>
      </w:r>
      <w:proofErr w:type="spellStart"/>
      <w:r w:rsidRPr="00A8361B">
        <w:rPr>
          <w:rFonts w:asciiTheme="minorHAnsi" w:eastAsiaTheme="minorHAnsi" w:hAnsiTheme="minorHAnsi" w:cstheme="minorHAnsi"/>
          <w:i/>
          <w:iCs/>
        </w:rPr>
        <w:t>esofagogástricas</w:t>
      </w:r>
      <w:proofErr w:type="spellEnd"/>
      <w:r w:rsidRPr="00A8361B">
        <w:rPr>
          <w:rFonts w:asciiTheme="minorHAnsi" w:eastAsiaTheme="minorHAnsi" w:hAnsiTheme="minorHAnsi" w:cstheme="minorHAnsi"/>
          <w:i/>
          <w:iCs/>
        </w:rPr>
        <w:t xml:space="preserve"> no tratadas o </w:t>
      </w:r>
      <w:proofErr w:type="spellStart"/>
      <w:r w:rsidRPr="00A8361B">
        <w:rPr>
          <w:rFonts w:asciiTheme="minorHAnsi" w:eastAsiaTheme="minorHAnsi" w:hAnsiTheme="minorHAnsi" w:cstheme="minorHAnsi"/>
          <w:i/>
          <w:iCs/>
        </w:rPr>
        <w:t>infratradas</w:t>
      </w:r>
      <w:proofErr w:type="spellEnd"/>
      <w:r w:rsidRPr="00A8361B">
        <w:rPr>
          <w:rFonts w:asciiTheme="minorHAnsi" w:eastAsiaTheme="minorHAnsi" w:hAnsiTheme="minorHAnsi" w:cstheme="minorHAnsi"/>
          <w:i/>
          <w:iCs/>
        </w:rPr>
        <w:t xml:space="preserve"> y en ausencia de enfermedades de índole autoinmune.</w:t>
      </w:r>
    </w:p>
    <w:p w:rsidR="00F61F01" w:rsidRPr="00A8361B" w:rsidRDefault="00F61F01" w:rsidP="006742A0">
      <w:pPr>
        <w:pStyle w:val="Prrafodelista"/>
        <w:numPr>
          <w:ilvl w:val="0"/>
          <w:numId w:val="16"/>
        </w:numPr>
        <w:ind w:left="1134"/>
        <w:jc w:val="both"/>
        <w:rPr>
          <w:rFonts w:asciiTheme="minorHAnsi" w:hAnsiTheme="minorHAnsi" w:cstheme="minorHAnsi"/>
        </w:rPr>
      </w:pPr>
      <w:r w:rsidRPr="00A8361B">
        <w:rPr>
          <w:rFonts w:asciiTheme="minorHAnsi" w:eastAsiaTheme="minorHAnsi" w:hAnsiTheme="minorHAnsi" w:cs="ArialMT"/>
          <w:b/>
          <w:u w:val="single"/>
        </w:rPr>
        <w:t>Indicación no financiada</w:t>
      </w:r>
      <w:r w:rsidRPr="00A8361B">
        <w:rPr>
          <w:rFonts w:asciiTheme="minorHAnsi" w:eastAsiaTheme="minorHAnsi" w:hAnsiTheme="minorHAnsi" w:cs="ArialMT"/>
          <w:b/>
        </w:rPr>
        <w:t>:</w:t>
      </w:r>
      <w:r w:rsidR="006742A0" w:rsidRPr="00A8361B">
        <w:rPr>
          <w:rFonts w:ascii="Helvetica" w:hAnsi="Helvetica" w:cs="Helvetica"/>
          <w:shd w:val="clear" w:color="auto" w:fill="FFFFFF"/>
        </w:rPr>
        <w:t xml:space="preserve"> </w:t>
      </w:r>
      <w:proofErr w:type="spellStart"/>
      <w:r w:rsidR="006742A0" w:rsidRPr="00A8361B">
        <w:rPr>
          <w:rFonts w:asciiTheme="minorHAnsi" w:hAnsiTheme="minorHAnsi" w:cstheme="minorHAnsi"/>
          <w:shd w:val="clear" w:color="auto" w:fill="FFFFFF"/>
        </w:rPr>
        <w:t>Tecentriq</w:t>
      </w:r>
      <w:proofErr w:type="spellEnd"/>
      <w:r w:rsidR="006742A0" w:rsidRPr="00A8361B">
        <w:rPr>
          <w:rFonts w:asciiTheme="minorHAnsi" w:hAnsiTheme="minorHAnsi" w:cstheme="minorHAnsi"/>
          <w:shd w:val="clear" w:color="auto" w:fill="FFFFFF"/>
        </w:rPr>
        <w:t xml:space="preserve">, en combinación con </w:t>
      </w:r>
      <w:proofErr w:type="spellStart"/>
      <w:r w:rsidR="006742A0" w:rsidRPr="00A8361B">
        <w:rPr>
          <w:rFonts w:asciiTheme="minorHAnsi" w:hAnsiTheme="minorHAnsi" w:cstheme="minorHAnsi"/>
          <w:shd w:val="clear" w:color="auto" w:fill="FFFFFF"/>
        </w:rPr>
        <w:t>nab-paclitaxel</w:t>
      </w:r>
      <w:proofErr w:type="spellEnd"/>
      <w:r w:rsidR="006742A0" w:rsidRPr="00A8361B">
        <w:rPr>
          <w:rFonts w:asciiTheme="minorHAnsi" w:hAnsiTheme="minorHAnsi" w:cstheme="minorHAnsi"/>
          <w:shd w:val="clear" w:color="auto" w:fill="FFFFFF"/>
        </w:rPr>
        <w:t xml:space="preserve"> y </w:t>
      </w:r>
      <w:proofErr w:type="spellStart"/>
      <w:r w:rsidR="006742A0" w:rsidRPr="00A8361B">
        <w:rPr>
          <w:rFonts w:asciiTheme="minorHAnsi" w:hAnsiTheme="minorHAnsi" w:cstheme="minorHAnsi"/>
          <w:shd w:val="clear" w:color="auto" w:fill="FFFFFF"/>
        </w:rPr>
        <w:t>carboplatino</w:t>
      </w:r>
      <w:proofErr w:type="spellEnd"/>
      <w:r w:rsidR="006742A0" w:rsidRPr="00A8361B">
        <w:rPr>
          <w:rFonts w:asciiTheme="minorHAnsi" w:hAnsiTheme="minorHAnsi" w:cstheme="minorHAnsi"/>
          <w:shd w:val="clear" w:color="auto" w:fill="FFFFFF"/>
        </w:rPr>
        <w:t xml:space="preserve">, está indicado para el tratamiento de primera línea de cáncer de pulmón no </w:t>
      </w:r>
      <w:proofErr w:type="spellStart"/>
      <w:r w:rsidR="006742A0" w:rsidRPr="00A8361B">
        <w:rPr>
          <w:rFonts w:asciiTheme="minorHAnsi" w:hAnsiTheme="minorHAnsi" w:cstheme="minorHAnsi"/>
          <w:shd w:val="clear" w:color="auto" w:fill="FFFFFF"/>
        </w:rPr>
        <w:t>microcítico</w:t>
      </w:r>
      <w:proofErr w:type="spellEnd"/>
      <w:r w:rsidR="006742A0" w:rsidRPr="00A8361B">
        <w:rPr>
          <w:rFonts w:asciiTheme="minorHAnsi" w:hAnsiTheme="minorHAnsi" w:cstheme="minorHAnsi"/>
          <w:shd w:val="clear" w:color="auto" w:fill="FFFFFF"/>
        </w:rPr>
        <w:t xml:space="preserve"> (CPNM) no escamoso </w:t>
      </w:r>
      <w:proofErr w:type="spellStart"/>
      <w:r w:rsidR="006742A0" w:rsidRPr="00A8361B">
        <w:rPr>
          <w:rFonts w:asciiTheme="minorHAnsi" w:hAnsiTheme="minorHAnsi" w:cstheme="minorHAnsi"/>
          <w:shd w:val="clear" w:color="auto" w:fill="FFFFFF"/>
        </w:rPr>
        <w:t>metastásico</w:t>
      </w:r>
      <w:proofErr w:type="spellEnd"/>
      <w:r w:rsidR="006742A0" w:rsidRPr="00A8361B">
        <w:rPr>
          <w:rFonts w:asciiTheme="minorHAnsi" w:hAnsiTheme="minorHAnsi" w:cstheme="minorHAnsi"/>
          <w:shd w:val="clear" w:color="auto" w:fill="FFFFFF"/>
        </w:rPr>
        <w:t xml:space="preserve"> en pacientes adultos que no presentan mutaciones de EGFR o reordenamiento ALK</w:t>
      </w:r>
    </w:p>
    <w:p w:rsidR="006742A0" w:rsidRPr="00A8361B" w:rsidRDefault="006742A0" w:rsidP="006742A0">
      <w:pPr>
        <w:ind w:left="774"/>
        <w:jc w:val="both"/>
        <w:rPr>
          <w:rFonts w:asciiTheme="minorHAnsi" w:hAnsiTheme="minorHAnsi" w:cstheme="minorHAnsi"/>
        </w:rPr>
      </w:pPr>
    </w:p>
    <w:p w:rsidR="00F61F01" w:rsidRPr="00A8361B" w:rsidRDefault="006742A0" w:rsidP="006742A0">
      <w:pPr>
        <w:pStyle w:val="Prrafodelista"/>
        <w:numPr>
          <w:ilvl w:val="0"/>
          <w:numId w:val="16"/>
        </w:numPr>
        <w:autoSpaceDE w:val="0"/>
        <w:autoSpaceDN w:val="0"/>
        <w:adjustRightInd w:val="0"/>
        <w:ind w:left="1134"/>
        <w:jc w:val="both"/>
        <w:rPr>
          <w:rFonts w:asciiTheme="minorHAnsi" w:eastAsiaTheme="minorHAnsi" w:hAnsiTheme="minorHAnsi" w:cstheme="minorHAnsi"/>
          <w:iCs/>
        </w:rPr>
      </w:pPr>
      <w:r w:rsidRPr="00A8361B">
        <w:rPr>
          <w:rFonts w:asciiTheme="minorHAnsi" w:eastAsiaTheme="minorHAnsi" w:hAnsiTheme="minorHAnsi" w:cstheme="minorHAnsi"/>
          <w:b/>
          <w:iCs/>
          <w:u w:val="single"/>
        </w:rPr>
        <w:t>Condiciones de financiación</w:t>
      </w:r>
      <w:r w:rsidRPr="00A8361B">
        <w:rPr>
          <w:rFonts w:asciiTheme="minorHAnsi" w:eastAsiaTheme="minorHAnsi" w:hAnsiTheme="minorHAnsi" w:cstheme="minorHAnsi"/>
          <w:iCs/>
        </w:rPr>
        <w:t>:</w:t>
      </w:r>
    </w:p>
    <w:p w:rsidR="006742A0" w:rsidRPr="00A8361B" w:rsidRDefault="006742A0" w:rsidP="006742A0">
      <w:pPr>
        <w:pStyle w:val="Prrafodelista"/>
        <w:rPr>
          <w:rFonts w:asciiTheme="minorHAnsi" w:eastAsiaTheme="minorHAnsi" w:hAnsiTheme="minorHAnsi" w:cstheme="minorHAnsi"/>
          <w:iCs/>
        </w:rPr>
      </w:pPr>
    </w:p>
    <w:p w:rsidR="00E0211E" w:rsidRPr="00A8361B" w:rsidRDefault="00D82C2E" w:rsidP="00C960C0">
      <w:pPr>
        <w:pStyle w:val="Prrafodelista"/>
        <w:numPr>
          <w:ilvl w:val="0"/>
          <w:numId w:val="16"/>
        </w:numPr>
        <w:autoSpaceDE w:val="0"/>
        <w:autoSpaceDN w:val="0"/>
        <w:adjustRightInd w:val="0"/>
        <w:ind w:left="1134"/>
        <w:jc w:val="both"/>
      </w:pPr>
      <w:r>
        <w:t>P</w:t>
      </w:r>
      <w:r w:rsidRPr="00A8361B">
        <w:t xml:space="preserve">ara </w:t>
      </w:r>
      <w:r w:rsidRPr="00A8361B">
        <w:rPr>
          <w:b/>
          <w:u w:val="single"/>
        </w:rPr>
        <w:t xml:space="preserve">Cáncer de pulmón </w:t>
      </w:r>
      <w:proofErr w:type="spellStart"/>
      <w:r w:rsidRPr="00A8361B">
        <w:rPr>
          <w:b/>
          <w:u w:val="single"/>
        </w:rPr>
        <w:t>microcítico</w:t>
      </w:r>
      <w:proofErr w:type="spellEnd"/>
      <w:r w:rsidRPr="00A8361B">
        <w:rPr>
          <w:b/>
          <w:u w:val="single"/>
        </w:rPr>
        <w:t xml:space="preserve"> CPM)</w:t>
      </w:r>
      <w:r w:rsidRPr="00A8361B">
        <w:t>:</w:t>
      </w:r>
      <w:r>
        <w:t xml:space="preserve"> </w:t>
      </w:r>
      <w:r w:rsidR="00C960C0" w:rsidRPr="00A8361B">
        <w:t xml:space="preserve">Se financia este medicamento mediante un </w:t>
      </w:r>
      <w:r w:rsidR="00C960C0" w:rsidRPr="00A8361B">
        <w:rPr>
          <w:b/>
        </w:rPr>
        <w:t>acuerdo de pago por resultados</w:t>
      </w:r>
      <w:r w:rsidR="00C960C0" w:rsidRPr="00A8361B">
        <w:t xml:space="preserve"> basado en la supervivencia global, considerando para su valoración el número de ciclos recibido por paciente con las siguientes cond</w:t>
      </w:r>
      <w:r>
        <w:t>iciones de pago por resultados:</w:t>
      </w:r>
    </w:p>
    <w:p w:rsidR="00E0211E" w:rsidRPr="00A8361B" w:rsidRDefault="00E0211E" w:rsidP="00D82C2E">
      <w:pPr>
        <w:pStyle w:val="Prrafodelista"/>
        <w:numPr>
          <w:ilvl w:val="2"/>
          <w:numId w:val="16"/>
        </w:numPr>
        <w:autoSpaceDE w:val="0"/>
        <w:autoSpaceDN w:val="0"/>
        <w:adjustRightInd w:val="0"/>
        <w:jc w:val="both"/>
      </w:pPr>
      <w:r w:rsidRPr="00A8361B">
        <w:t>Se establecen los siguientes tramos:</w:t>
      </w:r>
    </w:p>
    <w:p w:rsidR="00E0211E" w:rsidRPr="00A8361B" w:rsidRDefault="00E0211E" w:rsidP="00C960C0">
      <w:pPr>
        <w:pStyle w:val="Prrafodelista"/>
        <w:numPr>
          <w:ilvl w:val="4"/>
          <w:numId w:val="16"/>
        </w:numPr>
        <w:autoSpaceDE w:val="0"/>
        <w:autoSpaceDN w:val="0"/>
        <w:adjustRightInd w:val="0"/>
        <w:jc w:val="both"/>
      </w:pPr>
      <w:r w:rsidRPr="00A8361B">
        <w:t xml:space="preserve"> </w:t>
      </w:r>
      <w:r w:rsidRPr="00A8361B">
        <w:rPr>
          <w:rFonts w:cs="Calibri"/>
        </w:rPr>
        <w:t>≤</w:t>
      </w:r>
      <w:r w:rsidRPr="00A8361B">
        <w:t xml:space="preserve"> 10 meses: SNS paga 0%.</w:t>
      </w:r>
    </w:p>
    <w:p w:rsidR="00E0211E" w:rsidRPr="00A8361B" w:rsidRDefault="00E0211E" w:rsidP="00C960C0">
      <w:pPr>
        <w:pStyle w:val="Prrafodelista"/>
        <w:numPr>
          <w:ilvl w:val="4"/>
          <w:numId w:val="16"/>
        </w:numPr>
        <w:autoSpaceDE w:val="0"/>
        <w:autoSpaceDN w:val="0"/>
        <w:adjustRightInd w:val="0"/>
        <w:jc w:val="both"/>
      </w:pPr>
      <w:r w:rsidRPr="00A8361B">
        <w:t>11 y 13 meses: SNS paga 10%</w:t>
      </w:r>
    </w:p>
    <w:p w:rsidR="00E0211E" w:rsidRPr="00A8361B" w:rsidRDefault="00E0211E" w:rsidP="00C960C0">
      <w:pPr>
        <w:pStyle w:val="Prrafodelista"/>
        <w:numPr>
          <w:ilvl w:val="4"/>
          <w:numId w:val="16"/>
        </w:numPr>
        <w:autoSpaceDE w:val="0"/>
        <w:autoSpaceDN w:val="0"/>
        <w:adjustRightInd w:val="0"/>
        <w:jc w:val="both"/>
      </w:pPr>
      <w:r w:rsidRPr="00A8361B">
        <w:lastRenderedPageBreak/>
        <w:t>14 meses y 17 meses: SNS paga 50%</w:t>
      </w:r>
    </w:p>
    <w:p w:rsidR="00E0211E" w:rsidRPr="00A8361B" w:rsidRDefault="00E0211E" w:rsidP="00C960C0">
      <w:pPr>
        <w:pStyle w:val="Prrafodelista"/>
        <w:numPr>
          <w:ilvl w:val="4"/>
          <w:numId w:val="16"/>
        </w:numPr>
        <w:autoSpaceDE w:val="0"/>
        <w:autoSpaceDN w:val="0"/>
        <w:adjustRightInd w:val="0"/>
        <w:jc w:val="both"/>
      </w:pPr>
      <w:r w:rsidRPr="00A8361B">
        <w:t>18 meses en adelante: SNS paga 100%</w:t>
      </w:r>
    </w:p>
    <w:p w:rsidR="00E0211E" w:rsidRPr="00A8361B" w:rsidRDefault="00E0211E" w:rsidP="00D82C2E">
      <w:pPr>
        <w:pStyle w:val="Prrafodelista"/>
        <w:numPr>
          <w:ilvl w:val="0"/>
          <w:numId w:val="16"/>
        </w:numPr>
        <w:autoSpaceDE w:val="0"/>
        <w:autoSpaceDN w:val="0"/>
        <w:adjustRightInd w:val="0"/>
        <w:ind w:left="1985"/>
        <w:jc w:val="both"/>
      </w:pPr>
      <w:r w:rsidRPr="00A8361B">
        <w:t>La compañía titular asumirá el coste de 2 de los 4 ciclos de la inducción para todos los pacientes.</w:t>
      </w:r>
    </w:p>
    <w:p w:rsidR="00E0211E" w:rsidRPr="00A8361B" w:rsidRDefault="00E0211E" w:rsidP="00D82C2E">
      <w:pPr>
        <w:pStyle w:val="Prrafodelista"/>
        <w:numPr>
          <w:ilvl w:val="0"/>
          <w:numId w:val="16"/>
        </w:numPr>
        <w:autoSpaceDE w:val="0"/>
        <w:autoSpaceDN w:val="0"/>
        <w:adjustRightInd w:val="0"/>
        <w:ind w:left="1985"/>
        <w:jc w:val="both"/>
      </w:pPr>
      <w:r w:rsidRPr="00A8361B">
        <w:t xml:space="preserve">El suministro de los envases será al </w:t>
      </w:r>
      <w:r w:rsidRPr="00A8361B">
        <w:rPr>
          <w:b/>
        </w:rPr>
        <w:t>100%</w:t>
      </w:r>
      <w:r w:rsidRPr="00A8361B">
        <w:t xml:space="preserve"> del PVL de financiación.</w:t>
      </w:r>
    </w:p>
    <w:p w:rsidR="00E0211E" w:rsidRPr="00A8361B" w:rsidRDefault="00E0211E" w:rsidP="00D82C2E">
      <w:pPr>
        <w:pStyle w:val="Prrafodelista"/>
        <w:numPr>
          <w:ilvl w:val="0"/>
          <w:numId w:val="16"/>
        </w:numPr>
        <w:autoSpaceDE w:val="0"/>
        <w:autoSpaceDN w:val="0"/>
        <w:adjustRightInd w:val="0"/>
        <w:ind w:left="1985"/>
        <w:jc w:val="both"/>
      </w:pPr>
      <w:r w:rsidRPr="00A8361B">
        <w:t>En los casos en los que corresponda, y tan pronto como se justifique en el Comité de Seguimiento de cada CCAA, la devolución por parte de la compañía (según la duración de tratamiento y el segmento de SG en el que sitúe cada paciente) se realizará a través de abono contable o procedimiento que determine con el laboratorio cada Hospital o Servicio de Salud que adquirió el medicamento con cargo a fondos públicos del SNS.</w:t>
      </w:r>
    </w:p>
    <w:p w:rsidR="0075233C" w:rsidRPr="00A8361B" w:rsidRDefault="0075233C" w:rsidP="0075233C">
      <w:pPr>
        <w:autoSpaceDE w:val="0"/>
        <w:autoSpaceDN w:val="0"/>
        <w:adjustRightInd w:val="0"/>
        <w:jc w:val="both"/>
      </w:pPr>
    </w:p>
    <w:p w:rsidR="0075233C" w:rsidRPr="00A8361B" w:rsidRDefault="00D82C2E" w:rsidP="0075233C">
      <w:pPr>
        <w:pStyle w:val="Prrafodelista"/>
        <w:numPr>
          <w:ilvl w:val="0"/>
          <w:numId w:val="16"/>
        </w:numPr>
        <w:autoSpaceDE w:val="0"/>
        <w:autoSpaceDN w:val="0"/>
        <w:adjustRightInd w:val="0"/>
        <w:ind w:left="1134"/>
        <w:jc w:val="both"/>
      </w:pPr>
      <w:r>
        <w:t>P</w:t>
      </w:r>
      <w:r w:rsidRPr="00A8361B">
        <w:t xml:space="preserve">ara </w:t>
      </w:r>
      <w:r w:rsidRPr="00A8361B">
        <w:rPr>
          <w:b/>
          <w:u w:val="single"/>
        </w:rPr>
        <w:t>Cáncer de mama triple negativo CMTN)</w:t>
      </w:r>
      <w:r w:rsidRPr="00A8361B">
        <w:t>:</w:t>
      </w:r>
      <w:r>
        <w:t xml:space="preserve"> </w:t>
      </w:r>
      <w:r w:rsidR="0075233C" w:rsidRPr="00A8361B">
        <w:t xml:space="preserve">Se financia este medicamento mediante un </w:t>
      </w:r>
      <w:r w:rsidR="0075233C" w:rsidRPr="00A8361B">
        <w:rPr>
          <w:b/>
        </w:rPr>
        <w:t>acuerdo de pago por resultados</w:t>
      </w:r>
      <w:r w:rsidR="0075233C" w:rsidRPr="00A8361B">
        <w:t xml:space="preserve"> basado en la supervivencia global, considerando para su valoración el número de ciclos recibido por paciente con las siguientes cond</w:t>
      </w:r>
      <w:r>
        <w:t>iciones de pago por resultados:</w:t>
      </w:r>
    </w:p>
    <w:p w:rsidR="00F66485" w:rsidRPr="00A8361B" w:rsidRDefault="00F66485" w:rsidP="00D82C2E">
      <w:pPr>
        <w:pStyle w:val="Prrafodelista"/>
        <w:numPr>
          <w:ilvl w:val="0"/>
          <w:numId w:val="16"/>
        </w:numPr>
        <w:autoSpaceDE w:val="0"/>
        <w:autoSpaceDN w:val="0"/>
        <w:adjustRightInd w:val="0"/>
        <w:ind w:left="2127"/>
        <w:jc w:val="both"/>
      </w:pPr>
      <w:r w:rsidRPr="00A8361B">
        <w:t>Se establecen los siguientes tramos:</w:t>
      </w:r>
    </w:p>
    <w:p w:rsidR="00F66485" w:rsidRPr="00A8361B" w:rsidRDefault="00F66485" w:rsidP="00F66485">
      <w:pPr>
        <w:pStyle w:val="Prrafodelista"/>
        <w:numPr>
          <w:ilvl w:val="4"/>
          <w:numId w:val="16"/>
        </w:numPr>
        <w:autoSpaceDE w:val="0"/>
        <w:autoSpaceDN w:val="0"/>
        <w:adjustRightInd w:val="0"/>
        <w:jc w:val="both"/>
      </w:pPr>
      <w:r w:rsidRPr="00A8361B">
        <w:t xml:space="preserve">SG </w:t>
      </w:r>
      <w:r w:rsidRPr="00A8361B">
        <w:rPr>
          <w:rFonts w:cs="Calibri"/>
        </w:rPr>
        <w:t>≤</w:t>
      </w:r>
      <w:r w:rsidRPr="00A8361B">
        <w:t xml:space="preserve"> 22 meses: SNS paga 25%.</w:t>
      </w:r>
    </w:p>
    <w:p w:rsidR="00F66485" w:rsidRPr="00A8361B" w:rsidRDefault="00F66485" w:rsidP="00F66485">
      <w:pPr>
        <w:pStyle w:val="Prrafodelista"/>
        <w:numPr>
          <w:ilvl w:val="4"/>
          <w:numId w:val="16"/>
        </w:numPr>
        <w:autoSpaceDE w:val="0"/>
        <w:autoSpaceDN w:val="0"/>
        <w:adjustRightInd w:val="0"/>
        <w:jc w:val="both"/>
      </w:pPr>
      <w:r w:rsidRPr="00A8361B">
        <w:t>SG=23-24 meses: SNS paga 50%</w:t>
      </w:r>
    </w:p>
    <w:p w:rsidR="00F66485" w:rsidRPr="00A8361B" w:rsidRDefault="00F66485" w:rsidP="00F66485">
      <w:pPr>
        <w:pStyle w:val="Prrafodelista"/>
        <w:numPr>
          <w:ilvl w:val="4"/>
          <w:numId w:val="16"/>
        </w:numPr>
        <w:autoSpaceDE w:val="0"/>
        <w:autoSpaceDN w:val="0"/>
        <w:adjustRightInd w:val="0"/>
        <w:jc w:val="both"/>
      </w:pPr>
      <w:r w:rsidRPr="00A8361B">
        <w:t xml:space="preserve">SG </w:t>
      </w:r>
      <w:r w:rsidRPr="00A8361B">
        <w:rPr>
          <w:rFonts w:cs="Calibri"/>
        </w:rPr>
        <w:t>≥</w:t>
      </w:r>
      <w:r w:rsidRPr="00A8361B">
        <w:t xml:space="preserve"> 25 meses: SNS paga 100%</w:t>
      </w:r>
    </w:p>
    <w:p w:rsidR="00F66485" w:rsidRPr="00A8361B" w:rsidRDefault="00F66485" w:rsidP="00F66485">
      <w:pPr>
        <w:autoSpaceDE w:val="0"/>
        <w:autoSpaceDN w:val="0"/>
        <w:adjustRightInd w:val="0"/>
        <w:ind w:left="774"/>
        <w:jc w:val="both"/>
      </w:pPr>
    </w:p>
    <w:p w:rsidR="00F66485" w:rsidRPr="00A8361B" w:rsidRDefault="00F66485" w:rsidP="00D82C2E">
      <w:pPr>
        <w:pStyle w:val="Prrafodelista"/>
        <w:numPr>
          <w:ilvl w:val="0"/>
          <w:numId w:val="16"/>
        </w:numPr>
        <w:autoSpaceDE w:val="0"/>
        <w:autoSpaceDN w:val="0"/>
        <w:adjustRightInd w:val="0"/>
        <w:ind w:left="2127"/>
        <w:jc w:val="both"/>
      </w:pPr>
      <w:r w:rsidRPr="00A8361B">
        <w:t>La compañía titular asumirá el coste de 2 de los primeros ciclos para todos los pacientes.</w:t>
      </w:r>
    </w:p>
    <w:p w:rsidR="00F66485" w:rsidRPr="00A8361B" w:rsidRDefault="00F66485" w:rsidP="00D82C2E">
      <w:pPr>
        <w:pStyle w:val="Prrafodelista"/>
        <w:numPr>
          <w:ilvl w:val="0"/>
          <w:numId w:val="16"/>
        </w:numPr>
        <w:autoSpaceDE w:val="0"/>
        <w:autoSpaceDN w:val="0"/>
        <w:adjustRightInd w:val="0"/>
        <w:ind w:left="2127"/>
        <w:jc w:val="both"/>
      </w:pPr>
      <w:r w:rsidRPr="00A8361B">
        <w:t xml:space="preserve">El suministro de los envases será al </w:t>
      </w:r>
      <w:r w:rsidRPr="00A8361B">
        <w:rPr>
          <w:b/>
        </w:rPr>
        <w:t>100%</w:t>
      </w:r>
      <w:r w:rsidRPr="00A8361B">
        <w:t xml:space="preserve"> del PVL de financiación.</w:t>
      </w:r>
    </w:p>
    <w:p w:rsidR="00F66485" w:rsidRPr="00A8361B" w:rsidRDefault="00F66485" w:rsidP="00D82C2E">
      <w:pPr>
        <w:pStyle w:val="Prrafodelista"/>
        <w:numPr>
          <w:ilvl w:val="0"/>
          <w:numId w:val="16"/>
        </w:numPr>
        <w:autoSpaceDE w:val="0"/>
        <w:autoSpaceDN w:val="0"/>
        <w:adjustRightInd w:val="0"/>
        <w:ind w:left="2127"/>
        <w:jc w:val="both"/>
      </w:pPr>
      <w:r w:rsidRPr="00A8361B">
        <w:t>En los casos en los que corresponda, y tan pronto como se justifique en el Comité de Seguimiento de cada CCAA, la devolución por parte de la compañía (según la duración de tratamiento y el segmento de SG en el que sitúe cada paciente) se realizará a través de abono contable o procedimiento que determine con el laboratorio cada Hospital o Servicio de Salud que adquirió el medicamento con cargo a fondos públicos del SNS.</w:t>
      </w:r>
    </w:p>
    <w:p w:rsidR="00C12FF5" w:rsidRPr="00A8361B" w:rsidRDefault="00C12FF5" w:rsidP="00D82C2E">
      <w:pPr>
        <w:pStyle w:val="Prrafodelista"/>
        <w:numPr>
          <w:ilvl w:val="0"/>
          <w:numId w:val="16"/>
        </w:numPr>
        <w:autoSpaceDE w:val="0"/>
        <w:autoSpaceDN w:val="0"/>
        <w:adjustRightInd w:val="0"/>
        <w:ind w:left="2127"/>
        <w:jc w:val="both"/>
        <w:rPr>
          <w:rFonts w:asciiTheme="minorHAnsi" w:hAnsiTheme="minorHAnsi" w:cstheme="minorHAnsi"/>
        </w:rPr>
      </w:pPr>
      <w:r w:rsidRPr="00A8361B">
        <w:rPr>
          <w:rFonts w:asciiTheme="minorHAnsi" w:eastAsiaTheme="minorHAnsi" w:hAnsiTheme="minorHAnsi" w:cstheme="minorHAnsi"/>
        </w:rPr>
        <w:t xml:space="preserve">Se aplicará un </w:t>
      </w:r>
      <w:r w:rsidRPr="00A8361B">
        <w:rPr>
          <w:rFonts w:asciiTheme="minorHAnsi" w:eastAsiaTheme="minorHAnsi" w:hAnsiTheme="minorHAnsi" w:cstheme="minorHAnsi"/>
          <w:b/>
        </w:rPr>
        <w:t>descuento temporal</w:t>
      </w:r>
      <w:r w:rsidRPr="00A8361B">
        <w:rPr>
          <w:rFonts w:asciiTheme="minorHAnsi" w:eastAsiaTheme="minorHAnsi" w:hAnsiTheme="minorHAnsi" w:cstheme="minorHAnsi"/>
        </w:rPr>
        <w:t xml:space="preserve"> al PVL del medicamento TECENTRIQ 1875 MG SOLUCION INYECTABLE, 1 vial de 15 ml CN: 764093 que iguale el precio del primer biosimilar de TECENTRIQ 1200 MG CONCENTRADO PARA SOLUCION PARA PERFUSION, 1 vial CN: 719470 en el momento que se produzca su inclusión en el Nomenclátor de Facturación y comercialización efectiva. El mencionado descuento temporal dejará de aplicarse en el momento en que se produzca la inclusión de TECENTRIQ 1875 MG SOLUCION INYECTABLE, 1 vial de 15 ml CN: 764093 en un conjunto de referencia del sistema de precios de referencia de medicamentos en el Sistema Nacional de Salud.</w:t>
      </w:r>
    </w:p>
    <w:p w:rsidR="0075233C" w:rsidRPr="00A8361B" w:rsidRDefault="0075233C" w:rsidP="00C12FF5">
      <w:pPr>
        <w:autoSpaceDE w:val="0"/>
        <w:autoSpaceDN w:val="0"/>
        <w:adjustRightInd w:val="0"/>
        <w:ind w:left="993"/>
        <w:jc w:val="both"/>
      </w:pPr>
    </w:p>
    <w:p w:rsidR="00E0211E" w:rsidRPr="00A8361B" w:rsidRDefault="00E0211E" w:rsidP="007C620B">
      <w:pPr>
        <w:pStyle w:val="Prrafodelista"/>
        <w:numPr>
          <w:ilvl w:val="0"/>
          <w:numId w:val="16"/>
        </w:numPr>
        <w:autoSpaceDE w:val="0"/>
        <w:autoSpaceDN w:val="0"/>
        <w:adjustRightInd w:val="0"/>
        <w:ind w:left="851"/>
        <w:jc w:val="both"/>
      </w:pPr>
      <w:r w:rsidRPr="00A8361B">
        <w:rPr>
          <w:rFonts w:asciiTheme="minorHAnsi" w:eastAsiaTheme="minorHAnsi" w:hAnsiTheme="minorHAnsi" w:cstheme="minorHAnsi"/>
          <w:b/>
          <w:bCs/>
        </w:rPr>
        <w:t xml:space="preserve">Se mantiene </w:t>
      </w:r>
      <w:r w:rsidRPr="00A8361B">
        <w:rPr>
          <w:rFonts w:asciiTheme="minorHAnsi" w:eastAsiaTheme="minorHAnsi" w:hAnsiTheme="minorHAnsi" w:cstheme="minorHAnsi"/>
        </w:rPr>
        <w:t xml:space="preserve">el protocolo </w:t>
      </w:r>
      <w:proofErr w:type="spellStart"/>
      <w:r w:rsidRPr="00A8361B">
        <w:rPr>
          <w:rFonts w:asciiTheme="minorHAnsi" w:eastAsiaTheme="minorHAnsi" w:hAnsiTheme="minorHAnsi" w:cstheme="minorHAnsi"/>
        </w:rPr>
        <w:t>farmacoclínico</w:t>
      </w:r>
      <w:proofErr w:type="spellEnd"/>
      <w:r w:rsidRPr="00A8361B">
        <w:rPr>
          <w:rFonts w:asciiTheme="minorHAnsi" w:eastAsiaTheme="minorHAnsi" w:hAnsiTheme="minorHAnsi" w:cstheme="minorHAnsi"/>
        </w:rPr>
        <w:t xml:space="preserve"> de obligada cumplimentación en todo el SNS, a través de </w:t>
      </w:r>
      <w:r w:rsidRPr="00A8361B">
        <w:rPr>
          <w:rFonts w:asciiTheme="minorHAnsi" w:eastAsiaTheme="minorHAnsi" w:hAnsiTheme="minorHAnsi" w:cstheme="minorHAnsi"/>
          <w:b/>
          <w:bCs/>
        </w:rPr>
        <w:t>VALTERMED</w:t>
      </w:r>
      <w:r w:rsidRPr="00A8361B">
        <w:rPr>
          <w:rFonts w:asciiTheme="minorHAnsi" w:eastAsiaTheme="minorHAnsi" w:hAnsiTheme="minorHAnsi" w:cstheme="minorHAnsi"/>
        </w:rPr>
        <w:t>, que contenga los criterios de medición del resultado de beneficio clínico, así como los criterios de inicio, seguimiento y discontinuación del tratamiento</w:t>
      </w:r>
      <w:r w:rsidRPr="00A8361B">
        <w:rPr>
          <w:rFonts w:ascii="ArialMT" w:eastAsiaTheme="minorHAnsi" w:hAnsi="ArialMT" w:cs="ArialMT"/>
          <w:sz w:val="20"/>
          <w:szCs w:val="20"/>
        </w:rPr>
        <w:t>.</w:t>
      </w:r>
    </w:p>
    <w:p w:rsidR="00E0211E" w:rsidRDefault="00E0211E" w:rsidP="00E0211E">
      <w:pPr>
        <w:autoSpaceDE w:val="0"/>
        <w:autoSpaceDN w:val="0"/>
        <w:adjustRightInd w:val="0"/>
        <w:ind w:left="1785"/>
        <w:jc w:val="both"/>
      </w:pPr>
    </w:p>
    <w:p w:rsidR="00D82C2E" w:rsidRDefault="00D82C2E" w:rsidP="00E0211E">
      <w:pPr>
        <w:autoSpaceDE w:val="0"/>
        <w:autoSpaceDN w:val="0"/>
        <w:adjustRightInd w:val="0"/>
        <w:ind w:left="1785"/>
        <w:jc w:val="both"/>
      </w:pPr>
    </w:p>
    <w:p w:rsidR="00D82C2E" w:rsidRDefault="00D82C2E" w:rsidP="00E0211E">
      <w:pPr>
        <w:autoSpaceDE w:val="0"/>
        <w:autoSpaceDN w:val="0"/>
        <w:adjustRightInd w:val="0"/>
        <w:ind w:left="1785"/>
        <w:jc w:val="both"/>
      </w:pPr>
    </w:p>
    <w:p w:rsidR="00D82C2E" w:rsidRDefault="00D82C2E" w:rsidP="00E0211E">
      <w:pPr>
        <w:autoSpaceDE w:val="0"/>
        <w:autoSpaceDN w:val="0"/>
        <w:adjustRightInd w:val="0"/>
        <w:ind w:left="1785"/>
        <w:jc w:val="both"/>
      </w:pPr>
    </w:p>
    <w:p w:rsidR="00D82C2E" w:rsidRDefault="00D82C2E" w:rsidP="00E0211E">
      <w:pPr>
        <w:autoSpaceDE w:val="0"/>
        <w:autoSpaceDN w:val="0"/>
        <w:adjustRightInd w:val="0"/>
        <w:ind w:left="1785"/>
        <w:jc w:val="both"/>
      </w:pPr>
    </w:p>
    <w:p w:rsidR="00D82C2E" w:rsidRPr="00A8361B" w:rsidRDefault="00D82C2E" w:rsidP="00E0211E">
      <w:pPr>
        <w:autoSpaceDE w:val="0"/>
        <w:autoSpaceDN w:val="0"/>
        <w:adjustRightInd w:val="0"/>
        <w:ind w:left="1785"/>
        <w:jc w:val="both"/>
      </w:pPr>
    </w:p>
    <w:p w:rsidR="00B3712A" w:rsidRPr="00D82C2E" w:rsidRDefault="00D82C2E" w:rsidP="00D82C2E">
      <w:pPr>
        <w:numPr>
          <w:ilvl w:val="2"/>
          <w:numId w:val="34"/>
        </w:numPr>
        <w:jc w:val="both"/>
        <w:rPr>
          <w:rFonts w:eastAsia="Times New Roman" w:cs="Calibri"/>
          <w:b/>
          <w:u w:val="single"/>
          <w:lang w:eastAsia="es-ES"/>
        </w:rPr>
      </w:pPr>
      <w:r w:rsidRPr="00D82C2E">
        <w:rPr>
          <w:rFonts w:eastAsia="Times New Roman" w:cs="Calibri"/>
          <w:b/>
          <w:u w:val="single"/>
          <w:lang w:eastAsia="es-ES"/>
        </w:rPr>
        <w:lastRenderedPageBreak/>
        <w:t>MEDICAMENTOS BIOSIMILARES:</w:t>
      </w:r>
    </w:p>
    <w:p w:rsidR="00B3712A" w:rsidRPr="00A8361B" w:rsidRDefault="00B3712A" w:rsidP="00B3712A">
      <w:pPr>
        <w:autoSpaceDE w:val="0"/>
        <w:autoSpaceDN w:val="0"/>
        <w:adjustRightInd w:val="0"/>
        <w:ind w:left="349"/>
        <w:jc w:val="both"/>
        <w:rPr>
          <w:rFonts w:eastAsia="Times New Roman" w:cs="Arial"/>
          <w:b/>
          <w:u w:val="single"/>
          <w:lang w:eastAsia="es-ES"/>
        </w:rPr>
      </w:pPr>
    </w:p>
    <w:tbl>
      <w:tblPr>
        <w:tblW w:w="9564" w:type="dxa"/>
        <w:tblInd w:w="496" w:type="dxa"/>
        <w:tblLayout w:type="fixed"/>
        <w:tblCellMar>
          <w:left w:w="70" w:type="dxa"/>
          <w:right w:w="70" w:type="dxa"/>
        </w:tblCellMar>
        <w:tblLook w:val="04A0" w:firstRow="1" w:lastRow="0" w:firstColumn="1" w:lastColumn="0" w:noHBand="0" w:noVBand="1"/>
      </w:tblPr>
      <w:tblGrid>
        <w:gridCol w:w="850"/>
        <w:gridCol w:w="3327"/>
        <w:gridCol w:w="1559"/>
        <w:gridCol w:w="567"/>
        <w:gridCol w:w="567"/>
        <w:gridCol w:w="567"/>
        <w:gridCol w:w="1134"/>
        <w:gridCol w:w="993"/>
      </w:tblGrid>
      <w:tr w:rsidR="00A8361B" w:rsidRPr="00A8361B" w:rsidTr="00674E9F">
        <w:trPr>
          <w:trHeight w:val="37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12A" w:rsidRPr="00A8361B" w:rsidRDefault="00B3712A" w:rsidP="00674E9F">
            <w:pPr>
              <w:jc w:val="center"/>
              <w:rPr>
                <w:rFonts w:asciiTheme="minorHAnsi" w:hAnsiTheme="minorHAnsi" w:cs="Arial"/>
                <w:b/>
                <w:bCs/>
                <w:sz w:val="20"/>
                <w:szCs w:val="20"/>
              </w:rPr>
            </w:pPr>
            <w:r w:rsidRPr="00A8361B">
              <w:rPr>
                <w:rFonts w:asciiTheme="minorHAnsi" w:hAnsiTheme="minorHAnsi" w:cs="Arial"/>
                <w:b/>
                <w:bCs/>
                <w:sz w:val="20"/>
                <w:szCs w:val="20"/>
              </w:rPr>
              <w:t xml:space="preserve">CN </w:t>
            </w:r>
          </w:p>
        </w:tc>
        <w:tc>
          <w:tcPr>
            <w:tcW w:w="33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3712A" w:rsidRPr="00A8361B" w:rsidRDefault="00B3712A" w:rsidP="00674E9F">
            <w:pPr>
              <w:jc w:val="center"/>
              <w:rPr>
                <w:rFonts w:asciiTheme="minorHAnsi" w:hAnsiTheme="minorHAnsi" w:cs="Arial"/>
                <w:b/>
                <w:bCs/>
                <w:sz w:val="20"/>
                <w:szCs w:val="20"/>
              </w:rPr>
            </w:pPr>
            <w:r w:rsidRPr="00A8361B">
              <w:rPr>
                <w:rFonts w:asciiTheme="minorHAnsi" w:hAnsiTheme="minorHAnsi" w:cs="Arial"/>
                <w:b/>
                <w:bCs/>
                <w:sz w:val="20"/>
                <w:szCs w:val="20"/>
              </w:rPr>
              <w:t>NOMBRE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3712A" w:rsidRPr="00A8361B" w:rsidRDefault="00B3712A" w:rsidP="00674E9F">
            <w:pPr>
              <w:jc w:val="center"/>
              <w:rPr>
                <w:rFonts w:asciiTheme="minorHAnsi" w:hAnsiTheme="minorHAnsi" w:cs="Arial"/>
                <w:b/>
                <w:bCs/>
                <w:sz w:val="20"/>
                <w:szCs w:val="20"/>
              </w:rPr>
            </w:pPr>
            <w:r w:rsidRPr="00A8361B">
              <w:rPr>
                <w:rFonts w:asciiTheme="minorHAnsi" w:hAnsiTheme="minorHAnsi" w:cs="Arial"/>
                <w:b/>
                <w:bCs/>
                <w:sz w:val="20"/>
                <w:szCs w:val="20"/>
              </w:rPr>
              <w:t>Principio activo</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3712A" w:rsidRPr="00A8361B" w:rsidRDefault="00B3712A" w:rsidP="00674E9F">
            <w:pPr>
              <w:autoSpaceDE w:val="0"/>
              <w:autoSpaceDN w:val="0"/>
              <w:adjustRightInd w:val="0"/>
              <w:jc w:val="center"/>
              <w:rPr>
                <w:rFonts w:asciiTheme="minorHAnsi" w:hAnsiTheme="minorHAnsi" w:cs="Arial"/>
                <w:b/>
                <w:bCs/>
                <w:sz w:val="20"/>
                <w:szCs w:val="20"/>
              </w:rPr>
            </w:pPr>
            <w:r w:rsidRPr="00A8361B">
              <w:rPr>
                <w:rFonts w:asciiTheme="minorHAnsi" w:hAnsiTheme="minorHAnsi" w:cs="Arial"/>
                <w:b/>
                <w:bCs/>
                <w:sz w:val="20"/>
                <w:szCs w:val="20"/>
              </w:rPr>
              <w:t>DH</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12A" w:rsidRPr="00A8361B" w:rsidRDefault="00B3712A" w:rsidP="00674E9F">
            <w:pPr>
              <w:autoSpaceDE w:val="0"/>
              <w:autoSpaceDN w:val="0"/>
              <w:adjustRightInd w:val="0"/>
              <w:jc w:val="center"/>
              <w:rPr>
                <w:rFonts w:asciiTheme="minorHAnsi" w:hAnsiTheme="minorHAnsi" w:cs="Arial"/>
                <w:b/>
                <w:bCs/>
                <w:sz w:val="20"/>
                <w:szCs w:val="20"/>
              </w:rPr>
            </w:pPr>
            <w:r w:rsidRPr="00A8361B">
              <w:rPr>
                <w:rFonts w:asciiTheme="minorHAnsi" w:hAnsiTheme="minorHAnsi" w:cs="Arial"/>
                <w:b/>
                <w:bCs/>
                <w:sz w:val="20"/>
                <w:szCs w:val="20"/>
              </w:rPr>
              <w:t>UH</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12A" w:rsidRPr="00A8361B" w:rsidRDefault="00B3712A" w:rsidP="00674E9F">
            <w:pPr>
              <w:autoSpaceDE w:val="0"/>
              <w:autoSpaceDN w:val="0"/>
              <w:adjustRightInd w:val="0"/>
              <w:jc w:val="center"/>
              <w:rPr>
                <w:rFonts w:asciiTheme="minorHAnsi" w:hAnsiTheme="minorHAnsi" w:cs="Arial"/>
                <w:b/>
                <w:bCs/>
                <w:sz w:val="20"/>
                <w:szCs w:val="20"/>
              </w:rPr>
            </w:pPr>
            <w:r w:rsidRPr="00A8361B">
              <w:rPr>
                <w:rFonts w:asciiTheme="minorHAnsi" w:hAnsiTheme="minorHAnsi" w:cs="Arial"/>
                <w:b/>
                <w:bCs/>
                <w:sz w:val="20"/>
                <w:szCs w:val="20"/>
              </w:rPr>
              <w:t>SCP</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12A" w:rsidRPr="00A8361B" w:rsidRDefault="00B3712A" w:rsidP="00674E9F">
            <w:pPr>
              <w:autoSpaceDE w:val="0"/>
              <w:autoSpaceDN w:val="0"/>
              <w:adjustRightInd w:val="0"/>
              <w:jc w:val="center"/>
              <w:rPr>
                <w:rFonts w:asciiTheme="minorHAnsi" w:hAnsiTheme="minorHAnsi" w:cs="Arial"/>
                <w:b/>
                <w:bCs/>
                <w:sz w:val="20"/>
                <w:szCs w:val="20"/>
              </w:rPr>
            </w:pPr>
            <w:r w:rsidRPr="00A8361B">
              <w:rPr>
                <w:rFonts w:asciiTheme="minorHAnsi" w:hAnsiTheme="minorHAnsi" w:cs="Arial"/>
                <w:b/>
                <w:bCs/>
                <w:sz w:val="20"/>
                <w:szCs w:val="20"/>
              </w:rPr>
              <w:t>Biosimilar</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12A" w:rsidRPr="00A8361B" w:rsidRDefault="00B3712A" w:rsidP="00674E9F">
            <w:pPr>
              <w:autoSpaceDE w:val="0"/>
              <w:autoSpaceDN w:val="0"/>
              <w:adjustRightInd w:val="0"/>
              <w:jc w:val="center"/>
              <w:rPr>
                <w:rFonts w:asciiTheme="minorHAnsi" w:hAnsiTheme="minorHAnsi" w:cs="Arial"/>
                <w:b/>
                <w:bCs/>
                <w:sz w:val="20"/>
                <w:szCs w:val="20"/>
              </w:rPr>
            </w:pPr>
            <w:r w:rsidRPr="00A8361B">
              <w:rPr>
                <w:rFonts w:asciiTheme="minorHAnsi" w:hAnsiTheme="minorHAnsi" w:cs="Arial"/>
                <w:b/>
                <w:bCs/>
                <w:sz w:val="20"/>
                <w:szCs w:val="20"/>
              </w:rPr>
              <w:t>Huérfano</w:t>
            </w:r>
          </w:p>
        </w:tc>
      </w:tr>
      <w:tr w:rsidR="00A8361B" w:rsidRPr="00A8361B" w:rsidTr="00674E9F">
        <w:trPr>
          <w:trHeight w:val="271"/>
        </w:trPr>
        <w:tc>
          <w:tcPr>
            <w:tcW w:w="850" w:type="dxa"/>
            <w:tcBorders>
              <w:top w:val="single" w:sz="4" w:space="0" w:color="auto"/>
              <w:left w:val="single" w:sz="4" w:space="0" w:color="auto"/>
              <w:bottom w:val="single" w:sz="4" w:space="0" w:color="auto"/>
              <w:right w:val="single" w:sz="4" w:space="0" w:color="auto"/>
            </w:tcBorders>
            <w:vAlign w:val="center"/>
          </w:tcPr>
          <w:p w:rsidR="00B3712A" w:rsidRPr="00A8361B" w:rsidRDefault="00B3712A" w:rsidP="00674E9F">
            <w:pPr>
              <w:jc w:val="center"/>
              <w:rPr>
                <w:rFonts w:asciiTheme="minorHAnsi" w:hAnsiTheme="minorHAnsi" w:cs="Arial"/>
                <w:bCs/>
                <w:sz w:val="20"/>
                <w:szCs w:val="20"/>
              </w:rPr>
            </w:pPr>
            <w:r w:rsidRPr="00A8361B">
              <w:rPr>
                <w:rFonts w:asciiTheme="minorHAnsi" w:hAnsiTheme="minorHAnsi" w:cs="Arial"/>
                <w:bCs/>
                <w:sz w:val="20"/>
                <w:szCs w:val="20"/>
              </w:rPr>
              <w:t>764609</w:t>
            </w:r>
          </w:p>
        </w:tc>
        <w:tc>
          <w:tcPr>
            <w:tcW w:w="3327" w:type="dxa"/>
            <w:tcBorders>
              <w:top w:val="single" w:sz="4" w:space="0" w:color="auto"/>
              <w:left w:val="nil"/>
              <w:bottom w:val="single" w:sz="4" w:space="0" w:color="auto"/>
              <w:right w:val="single" w:sz="4" w:space="0" w:color="auto"/>
            </w:tcBorders>
            <w:vAlign w:val="bottom"/>
          </w:tcPr>
          <w:p w:rsidR="00B3712A" w:rsidRPr="00A8361B" w:rsidRDefault="00B3712A" w:rsidP="00674E9F">
            <w:pPr>
              <w:rPr>
                <w:rFonts w:asciiTheme="minorHAnsi" w:hAnsiTheme="minorHAnsi" w:cs="Arial"/>
                <w:bCs/>
                <w:sz w:val="20"/>
                <w:szCs w:val="20"/>
              </w:rPr>
            </w:pPr>
            <w:r w:rsidRPr="00A8361B">
              <w:rPr>
                <w:rFonts w:asciiTheme="minorHAnsi" w:hAnsiTheme="minorHAnsi" w:cs="Arial"/>
                <w:bCs/>
                <w:sz w:val="20"/>
                <w:szCs w:val="20"/>
              </w:rPr>
              <w:t>RIMMYRAH 10MG/ML 1 VIAL DE 0,23ML + AGUJA SOLUCION INYECTABLE</w:t>
            </w:r>
          </w:p>
        </w:tc>
        <w:tc>
          <w:tcPr>
            <w:tcW w:w="1559" w:type="dxa"/>
            <w:tcBorders>
              <w:top w:val="single" w:sz="4" w:space="0" w:color="auto"/>
              <w:left w:val="nil"/>
              <w:bottom w:val="single" w:sz="4" w:space="0" w:color="auto"/>
              <w:right w:val="single" w:sz="4" w:space="0" w:color="auto"/>
            </w:tcBorders>
            <w:vAlign w:val="center"/>
          </w:tcPr>
          <w:p w:rsidR="00B3712A" w:rsidRPr="00A8361B" w:rsidRDefault="00B3712A" w:rsidP="00674E9F">
            <w:pPr>
              <w:jc w:val="center"/>
              <w:rPr>
                <w:rFonts w:asciiTheme="minorHAnsi" w:hAnsiTheme="minorHAnsi" w:cs="Arial"/>
                <w:bCs/>
                <w:sz w:val="20"/>
                <w:szCs w:val="20"/>
              </w:rPr>
            </w:pPr>
            <w:r w:rsidRPr="00A8361B">
              <w:rPr>
                <w:rFonts w:asciiTheme="minorHAnsi" w:hAnsiTheme="minorHAnsi" w:cs="Arial"/>
                <w:bCs/>
                <w:sz w:val="20"/>
                <w:szCs w:val="20"/>
              </w:rPr>
              <w:t>RANIBIZUMAB</w:t>
            </w:r>
          </w:p>
        </w:tc>
        <w:tc>
          <w:tcPr>
            <w:tcW w:w="567" w:type="dxa"/>
            <w:tcBorders>
              <w:top w:val="single" w:sz="4" w:space="0" w:color="auto"/>
              <w:left w:val="single" w:sz="4" w:space="0" w:color="auto"/>
              <w:bottom w:val="single" w:sz="4" w:space="0" w:color="auto"/>
              <w:right w:val="single" w:sz="4" w:space="0" w:color="auto"/>
            </w:tcBorders>
            <w:vAlign w:val="center"/>
            <w:hideMark/>
          </w:tcPr>
          <w:p w:rsidR="00B3712A" w:rsidRPr="00A8361B" w:rsidRDefault="00B3712A" w:rsidP="00674E9F">
            <w:pPr>
              <w:jc w:val="center"/>
              <w:rPr>
                <w:rFonts w:asciiTheme="minorHAnsi" w:hAnsiTheme="minorHAnsi" w:cs="Arial"/>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3712A" w:rsidRPr="00A8361B" w:rsidRDefault="00B3712A" w:rsidP="00674E9F">
            <w:pPr>
              <w:ind w:left="72"/>
              <w:jc w:val="center"/>
              <w:rPr>
                <w:rFonts w:asciiTheme="minorHAnsi" w:hAnsiTheme="minorHAnsi" w:cs="Arial"/>
                <w:bCs/>
                <w:sz w:val="20"/>
                <w:szCs w:val="20"/>
              </w:rPr>
            </w:pPr>
            <w:r w:rsidRPr="00A8361B">
              <w:rPr>
                <w:rFonts w:asciiTheme="minorHAnsi" w:hAnsiTheme="minorHAnsi" w:cs="Arial"/>
                <w:bCs/>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3712A" w:rsidRPr="00A8361B" w:rsidRDefault="00B3712A" w:rsidP="00674E9F">
            <w:pPr>
              <w:jc w:val="center"/>
              <w:rPr>
                <w:rFonts w:asciiTheme="minorHAnsi" w:hAnsiTheme="minorHAnsi" w:cs="Arial"/>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3712A" w:rsidRPr="00A8361B" w:rsidRDefault="00B3712A" w:rsidP="00674E9F">
            <w:pPr>
              <w:ind w:left="360"/>
              <w:rPr>
                <w:rFonts w:asciiTheme="minorHAnsi" w:hAnsiTheme="minorHAnsi" w:cs="Arial"/>
                <w:bCs/>
                <w:sz w:val="20"/>
                <w:szCs w:val="20"/>
              </w:rPr>
            </w:pPr>
            <w:r w:rsidRPr="00A8361B">
              <w:rPr>
                <w:rFonts w:asciiTheme="minorHAnsi" w:hAnsiTheme="minorHAnsi" w:cs="Arial"/>
                <w:bCs/>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B3712A" w:rsidRPr="00A8361B" w:rsidRDefault="00B3712A" w:rsidP="00674E9F">
            <w:pPr>
              <w:ind w:left="360"/>
              <w:jc w:val="center"/>
              <w:rPr>
                <w:rFonts w:asciiTheme="minorHAnsi" w:hAnsiTheme="minorHAnsi" w:cs="Arial"/>
                <w:bCs/>
                <w:sz w:val="20"/>
                <w:szCs w:val="20"/>
              </w:rPr>
            </w:pPr>
          </w:p>
        </w:tc>
      </w:tr>
    </w:tbl>
    <w:p w:rsidR="004F09FD" w:rsidRDefault="004F09FD" w:rsidP="00443B33">
      <w:pPr>
        <w:jc w:val="both"/>
        <w:rPr>
          <w:rFonts w:eastAsia="Times New Roman" w:cs="Arial"/>
          <w:lang w:eastAsia="es-ES"/>
        </w:rPr>
      </w:pPr>
    </w:p>
    <w:p w:rsidR="000F2B93" w:rsidRPr="00D5098C" w:rsidRDefault="000F2B93" w:rsidP="008D3B35">
      <w:pPr>
        <w:autoSpaceDE w:val="0"/>
        <w:autoSpaceDN w:val="0"/>
        <w:adjustRightInd w:val="0"/>
        <w:rPr>
          <w:rFonts w:asciiTheme="minorHAnsi" w:eastAsia="Times New Roman" w:hAnsiTheme="minorHAnsi" w:cstheme="minorHAnsi"/>
          <w:lang w:eastAsia="es-ES"/>
        </w:rPr>
      </w:pPr>
    </w:p>
    <w:p w:rsidR="00C63E12" w:rsidRPr="00D82C2E" w:rsidRDefault="00D82C2E" w:rsidP="00D82C2E">
      <w:pPr>
        <w:numPr>
          <w:ilvl w:val="2"/>
          <w:numId w:val="34"/>
        </w:numPr>
        <w:jc w:val="both"/>
        <w:rPr>
          <w:rFonts w:eastAsia="Times New Roman" w:cs="Calibri"/>
          <w:b/>
          <w:u w:val="single"/>
          <w:lang w:eastAsia="es-ES"/>
        </w:rPr>
      </w:pPr>
      <w:r w:rsidRPr="00D82C2E">
        <w:rPr>
          <w:rFonts w:eastAsia="Times New Roman" w:cs="Calibri"/>
          <w:b/>
          <w:u w:val="single"/>
          <w:lang w:eastAsia="es-ES"/>
        </w:rPr>
        <w:t>MEDICAMENTOS EN LOS QUE SE ESTABLECE LA APORTACIÓN REDUCIDA ÚNICAMENTE PARA LOS PACIENTES CON HIPERCOLESTEROLEMIA FAMILIAR HETEROCIGOTA:</w:t>
      </w:r>
    </w:p>
    <w:p w:rsidR="00C63E12" w:rsidRPr="00D82C2E" w:rsidRDefault="00C63E12" w:rsidP="00D82C2E">
      <w:pPr>
        <w:ind w:left="1004"/>
        <w:jc w:val="both"/>
        <w:rPr>
          <w:rFonts w:eastAsia="Times New Roman" w:cs="Calibri"/>
          <w:b/>
          <w:u w:val="single"/>
          <w:lang w:eastAsia="es-ES"/>
        </w:rPr>
      </w:pPr>
    </w:p>
    <w:tbl>
      <w:tblPr>
        <w:tblW w:w="913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4744"/>
        <w:gridCol w:w="3119"/>
      </w:tblGrid>
      <w:tr w:rsidR="00A8361B" w:rsidRPr="00A8361B" w:rsidTr="001B2055">
        <w:trPr>
          <w:trHeight w:val="354"/>
        </w:trPr>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rsidR="00C63E12" w:rsidRPr="00A8361B" w:rsidRDefault="00C63E12" w:rsidP="001B2055">
            <w:pPr>
              <w:jc w:val="center"/>
              <w:rPr>
                <w:rFonts w:asciiTheme="minorHAnsi" w:hAnsiTheme="minorHAnsi" w:cs="Arial"/>
                <w:b/>
                <w:bCs/>
                <w:sz w:val="20"/>
                <w:szCs w:val="20"/>
              </w:rPr>
            </w:pPr>
            <w:r w:rsidRPr="00A8361B">
              <w:rPr>
                <w:rFonts w:asciiTheme="minorHAnsi" w:hAnsiTheme="minorHAnsi" w:cs="Arial"/>
                <w:b/>
                <w:bCs/>
                <w:sz w:val="20"/>
                <w:szCs w:val="20"/>
              </w:rPr>
              <w:t>CN</w:t>
            </w:r>
          </w:p>
        </w:tc>
        <w:tc>
          <w:tcPr>
            <w:tcW w:w="474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rsidR="00C63E12" w:rsidRPr="00A8361B" w:rsidRDefault="00C63E12" w:rsidP="001B2055">
            <w:pPr>
              <w:jc w:val="center"/>
              <w:rPr>
                <w:rFonts w:asciiTheme="minorHAnsi" w:hAnsiTheme="minorHAnsi" w:cs="Arial"/>
                <w:b/>
                <w:bCs/>
                <w:sz w:val="20"/>
                <w:szCs w:val="20"/>
              </w:rPr>
            </w:pPr>
            <w:r w:rsidRPr="00A8361B">
              <w:rPr>
                <w:rFonts w:asciiTheme="minorHAnsi" w:hAnsiTheme="minorHAnsi" w:cs="Arial"/>
                <w:b/>
                <w:bCs/>
                <w:sz w:val="20"/>
                <w:szCs w:val="20"/>
              </w:rPr>
              <w:t>NOMBRE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63E12" w:rsidRPr="00A8361B" w:rsidRDefault="00C63E12" w:rsidP="001B2055">
            <w:pPr>
              <w:jc w:val="center"/>
              <w:rPr>
                <w:rFonts w:asciiTheme="minorHAnsi" w:hAnsiTheme="minorHAnsi" w:cs="Arial"/>
                <w:b/>
                <w:bCs/>
                <w:sz w:val="20"/>
                <w:szCs w:val="20"/>
              </w:rPr>
            </w:pPr>
            <w:r w:rsidRPr="00A8361B">
              <w:rPr>
                <w:rFonts w:asciiTheme="minorHAnsi" w:hAnsiTheme="minorHAnsi" w:cs="Arial"/>
                <w:b/>
                <w:bCs/>
                <w:sz w:val="20"/>
                <w:szCs w:val="20"/>
              </w:rPr>
              <w:t>Principio activo</w:t>
            </w:r>
          </w:p>
        </w:tc>
      </w:tr>
      <w:tr w:rsidR="00A8361B" w:rsidRPr="00A8361B" w:rsidTr="001B2055">
        <w:trPr>
          <w:trHeight w:val="391"/>
        </w:trPr>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C63E12" w:rsidRPr="00A8361B" w:rsidRDefault="00153529" w:rsidP="001B2055">
            <w:pPr>
              <w:jc w:val="center"/>
              <w:rPr>
                <w:rFonts w:asciiTheme="minorHAnsi" w:hAnsiTheme="minorHAnsi" w:cs="Arial"/>
                <w:bCs/>
                <w:sz w:val="20"/>
                <w:szCs w:val="20"/>
              </w:rPr>
            </w:pPr>
            <w:r w:rsidRPr="00A8361B">
              <w:rPr>
                <w:rFonts w:asciiTheme="minorHAnsi" w:hAnsiTheme="minorHAnsi" w:cs="Arial"/>
                <w:bCs/>
                <w:sz w:val="20"/>
                <w:szCs w:val="20"/>
              </w:rPr>
              <w:t>764040</w:t>
            </w:r>
          </w:p>
        </w:tc>
        <w:tc>
          <w:tcPr>
            <w:tcW w:w="474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C63E12" w:rsidRPr="00A8361B" w:rsidRDefault="00153529" w:rsidP="00C412D3">
            <w:pPr>
              <w:autoSpaceDE w:val="0"/>
              <w:autoSpaceDN w:val="0"/>
              <w:adjustRightInd w:val="0"/>
              <w:rPr>
                <w:rFonts w:asciiTheme="minorHAnsi" w:hAnsiTheme="minorHAnsi" w:cs="Arial"/>
                <w:bCs/>
                <w:sz w:val="20"/>
                <w:szCs w:val="20"/>
              </w:rPr>
            </w:pPr>
            <w:r w:rsidRPr="00A8361B">
              <w:rPr>
                <w:rFonts w:asciiTheme="minorHAnsi" w:hAnsiTheme="minorHAnsi" w:cs="Arial"/>
                <w:bCs/>
                <w:sz w:val="20"/>
                <w:szCs w:val="20"/>
              </w:rPr>
              <w:t>THERVAN PLUS 10/20MG 30 COMPRIMIDOS RECUBIERTOS CON PELÍCULA EFG</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3E12" w:rsidRPr="00A8361B" w:rsidRDefault="00C63E12" w:rsidP="001B2055">
            <w:pPr>
              <w:jc w:val="center"/>
              <w:rPr>
                <w:rFonts w:asciiTheme="minorHAnsi" w:hAnsiTheme="minorHAnsi" w:cs="Arial"/>
                <w:bCs/>
                <w:sz w:val="20"/>
                <w:szCs w:val="20"/>
              </w:rPr>
            </w:pPr>
            <w:r w:rsidRPr="00A8361B">
              <w:rPr>
                <w:rFonts w:asciiTheme="minorHAnsi" w:hAnsiTheme="minorHAnsi" w:cs="Arial"/>
                <w:bCs/>
                <w:sz w:val="20"/>
                <w:szCs w:val="20"/>
              </w:rPr>
              <w:t>ATORVASTATINA/EZETIMIBA</w:t>
            </w:r>
          </w:p>
        </w:tc>
      </w:tr>
      <w:tr w:rsidR="00A8361B" w:rsidRPr="00A8361B" w:rsidTr="007638F1">
        <w:trPr>
          <w:trHeight w:val="391"/>
        </w:trPr>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C412D3" w:rsidRPr="00A8361B" w:rsidRDefault="00C412D3" w:rsidP="00115E4B">
            <w:pPr>
              <w:jc w:val="center"/>
              <w:rPr>
                <w:rFonts w:asciiTheme="minorHAnsi" w:hAnsiTheme="minorHAnsi" w:cs="Arial"/>
                <w:bCs/>
                <w:sz w:val="20"/>
                <w:szCs w:val="20"/>
              </w:rPr>
            </w:pPr>
            <w:r w:rsidRPr="00A8361B">
              <w:rPr>
                <w:rFonts w:asciiTheme="minorHAnsi" w:hAnsiTheme="minorHAnsi" w:cs="Arial"/>
                <w:bCs/>
                <w:sz w:val="20"/>
                <w:szCs w:val="20"/>
              </w:rPr>
              <w:t>7643</w:t>
            </w:r>
            <w:r w:rsidR="00115E4B" w:rsidRPr="00A8361B">
              <w:rPr>
                <w:rFonts w:asciiTheme="minorHAnsi" w:hAnsiTheme="minorHAnsi" w:cs="Arial"/>
                <w:bCs/>
                <w:sz w:val="20"/>
                <w:szCs w:val="20"/>
              </w:rPr>
              <w:t>17</w:t>
            </w:r>
          </w:p>
        </w:tc>
        <w:tc>
          <w:tcPr>
            <w:tcW w:w="474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412D3" w:rsidRPr="00A8361B" w:rsidRDefault="00A34B71" w:rsidP="00115E4B">
            <w:r w:rsidRPr="00A8361B">
              <w:rPr>
                <w:rFonts w:asciiTheme="minorHAnsi" w:hAnsiTheme="minorHAnsi" w:cs="Arial"/>
                <w:bCs/>
                <w:sz w:val="20"/>
                <w:szCs w:val="20"/>
              </w:rPr>
              <w:t xml:space="preserve">EZETIMIBA/ATORVASTATINA </w:t>
            </w:r>
            <w:r w:rsidR="00115E4B" w:rsidRPr="00A8361B">
              <w:rPr>
                <w:rFonts w:asciiTheme="minorHAnsi" w:hAnsiTheme="minorHAnsi" w:cs="Arial"/>
                <w:bCs/>
                <w:sz w:val="20"/>
                <w:szCs w:val="20"/>
              </w:rPr>
              <w:t>STADA</w:t>
            </w:r>
            <w:r w:rsidRPr="00A8361B">
              <w:rPr>
                <w:rFonts w:asciiTheme="minorHAnsi" w:hAnsiTheme="minorHAnsi" w:cs="Arial"/>
                <w:bCs/>
                <w:sz w:val="20"/>
                <w:szCs w:val="20"/>
              </w:rPr>
              <w:t xml:space="preserve"> 10MG/</w:t>
            </w:r>
            <w:r w:rsidR="00115E4B" w:rsidRPr="00A8361B">
              <w:rPr>
                <w:rFonts w:asciiTheme="minorHAnsi" w:hAnsiTheme="minorHAnsi" w:cs="Arial"/>
                <w:bCs/>
                <w:sz w:val="20"/>
                <w:szCs w:val="20"/>
              </w:rPr>
              <w:t>2</w:t>
            </w:r>
            <w:r w:rsidRPr="00A8361B">
              <w:rPr>
                <w:rFonts w:asciiTheme="minorHAnsi" w:hAnsiTheme="minorHAnsi" w:cs="Arial"/>
                <w:bCs/>
                <w:sz w:val="20"/>
                <w:szCs w:val="20"/>
              </w:rPr>
              <w:t>0MG 30 COMPRIMIDOS RECUBIERTOS CON PELÍCULA EFG</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C412D3" w:rsidRPr="00A8361B" w:rsidRDefault="00C412D3" w:rsidP="00C412D3">
            <w:pPr>
              <w:jc w:val="center"/>
              <w:rPr>
                <w:rFonts w:asciiTheme="minorHAnsi" w:hAnsiTheme="minorHAnsi" w:cs="Arial"/>
                <w:bCs/>
                <w:sz w:val="20"/>
                <w:szCs w:val="20"/>
              </w:rPr>
            </w:pPr>
            <w:r w:rsidRPr="00A8361B">
              <w:rPr>
                <w:rFonts w:asciiTheme="minorHAnsi" w:hAnsiTheme="minorHAnsi" w:cs="Arial"/>
                <w:bCs/>
                <w:sz w:val="20"/>
                <w:szCs w:val="20"/>
              </w:rPr>
              <w:t>ATORVASTATINA/EZETIMIBA</w:t>
            </w:r>
          </w:p>
        </w:tc>
      </w:tr>
      <w:tr w:rsidR="00A8361B" w:rsidRPr="00A8361B" w:rsidTr="007638F1">
        <w:trPr>
          <w:trHeight w:val="391"/>
        </w:trPr>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115E4B" w:rsidRPr="00A8361B" w:rsidRDefault="00115E4B" w:rsidP="00115E4B">
            <w:pPr>
              <w:jc w:val="center"/>
              <w:rPr>
                <w:rFonts w:asciiTheme="minorHAnsi" w:hAnsiTheme="minorHAnsi" w:cs="Arial"/>
                <w:bCs/>
                <w:sz w:val="20"/>
                <w:szCs w:val="20"/>
              </w:rPr>
            </w:pPr>
            <w:r w:rsidRPr="00A8361B">
              <w:rPr>
                <w:rFonts w:asciiTheme="minorHAnsi" w:hAnsiTheme="minorHAnsi" w:cs="Arial"/>
                <w:bCs/>
                <w:sz w:val="20"/>
                <w:szCs w:val="20"/>
              </w:rPr>
              <w:t>764318</w:t>
            </w:r>
          </w:p>
        </w:tc>
        <w:tc>
          <w:tcPr>
            <w:tcW w:w="474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115E4B" w:rsidRPr="00A8361B" w:rsidRDefault="00115E4B" w:rsidP="00115E4B">
            <w:r w:rsidRPr="00A8361B">
              <w:rPr>
                <w:rFonts w:asciiTheme="minorHAnsi" w:hAnsiTheme="minorHAnsi" w:cs="Arial"/>
                <w:bCs/>
                <w:sz w:val="20"/>
                <w:szCs w:val="20"/>
              </w:rPr>
              <w:t>EZETIMIBA/ATORVASTATINA STADA 10MG/40MG 30 COMPRIMIDOS RECUBIERTOS CON PELÍCULA EFG</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115E4B" w:rsidRPr="00A8361B" w:rsidRDefault="00115E4B" w:rsidP="00115E4B">
            <w:pPr>
              <w:jc w:val="center"/>
              <w:rPr>
                <w:rFonts w:asciiTheme="minorHAnsi" w:hAnsiTheme="minorHAnsi" w:cs="Arial"/>
                <w:bCs/>
                <w:sz w:val="20"/>
                <w:szCs w:val="20"/>
              </w:rPr>
            </w:pPr>
            <w:r w:rsidRPr="00A8361B">
              <w:rPr>
                <w:rFonts w:asciiTheme="minorHAnsi" w:hAnsiTheme="minorHAnsi" w:cs="Arial"/>
                <w:bCs/>
                <w:sz w:val="20"/>
                <w:szCs w:val="20"/>
              </w:rPr>
              <w:t>ATORVASTATINA/EZETIMIBA</w:t>
            </w:r>
          </w:p>
        </w:tc>
      </w:tr>
      <w:tr w:rsidR="00A8361B" w:rsidRPr="00A8361B" w:rsidTr="007638F1">
        <w:trPr>
          <w:trHeight w:val="391"/>
        </w:trPr>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115E4B" w:rsidRPr="00A8361B" w:rsidRDefault="00115E4B" w:rsidP="00115E4B">
            <w:pPr>
              <w:jc w:val="center"/>
              <w:rPr>
                <w:rFonts w:asciiTheme="minorHAnsi" w:hAnsiTheme="minorHAnsi" w:cs="Arial"/>
                <w:bCs/>
                <w:sz w:val="20"/>
                <w:szCs w:val="20"/>
              </w:rPr>
            </w:pPr>
            <w:r w:rsidRPr="00A8361B">
              <w:rPr>
                <w:rFonts w:asciiTheme="minorHAnsi" w:hAnsiTheme="minorHAnsi" w:cs="Arial"/>
                <w:bCs/>
                <w:sz w:val="20"/>
                <w:szCs w:val="20"/>
              </w:rPr>
              <w:t>764319</w:t>
            </w:r>
          </w:p>
        </w:tc>
        <w:tc>
          <w:tcPr>
            <w:tcW w:w="474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115E4B" w:rsidRPr="00A8361B" w:rsidRDefault="00115E4B" w:rsidP="00115E4B">
            <w:r w:rsidRPr="00A8361B">
              <w:rPr>
                <w:rFonts w:asciiTheme="minorHAnsi" w:hAnsiTheme="minorHAnsi" w:cs="Arial"/>
                <w:bCs/>
                <w:sz w:val="20"/>
                <w:szCs w:val="20"/>
              </w:rPr>
              <w:t>EZETIMIBA/ATORVASTATINA STADA 10MG/80MG 30 COMPRIMIDOS RECUBIERTOS CON PELÍCULA EFG</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115E4B" w:rsidRPr="00A8361B" w:rsidRDefault="007B3D45" w:rsidP="00115E4B">
            <w:pPr>
              <w:jc w:val="center"/>
              <w:rPr>
                <w:rFonts w:asciiTheme="minorHAnsi" w:hAnsiTheme="minorHAnsi" w:cs="Arial"/>
                <w:bCs/>
                <w:sz w:val="20"/>
                <w:szCs w:val="20"/>
              </w:rPr>
            </w:pPr>
            <w:r w:rsidRPr="00A8361B">
              <w:rPr>
                <w:rFonts w:asciiTheme="minorHAnsi" w:hAnsiTheme="minorHAnsi" w:cs="Arial"/>
                <w:bCs/>
                <w:sz w:val="20"/>
                <w:szCs w:val="20"/>
              </w:rPr>
              <w:t>ATORVASTATINA/EZETIMIBA</w:t>
            </w:r>
          </w:p>
        </w:tc>
      </w:tr>
    </w:tbl>
    <w:p w:rsidR="00C63E12" w:rsidRPr="00A8361B" w:rsidRDefault="00C63E12" w:rsidP="00C63E12">
      <w:pPr>
        <w:autoSpaceDE w:val="0"/>
        <w:autoSpaceDN w:val="0"/>
        <w:adjustRightInd w:val="0"/>
        <w:ind w:left="1931"/>
        <w:jc w:val="both"/>
        <w:rPr>
          <w:rFonts w:asciiTheme="minorHAnsi" w:eastAsiaTheme="minorHAnsi" w:hAnsiTheme="minorHAnsi" w:cstheme="minorHAnsi"/>
        </w:rPr>
      </w:pPr>
    </w:p>
    <w:p w:rsidR="00E23866" w:rsidRPr="00A8361B" w:rsidRDefault="00E23866" w:rsidP="00E23866">
      <w:pPr>
        <w:autoSpaceDE w:val="0"/>
        <w:autoSpaceDN w:val="0"/>
        <w:adjustRightInd w:val="0"/>
        <w:ind w:left="1931"/>
        <w:jc w:val="both"/>
        <w:rPr>
          <w:rFonts w:asciiTheme="minorHAnsi" w:eastAsiaTheme="minorHAnsi" w:hAnsiTheme="minorHAnsi" w:cstheme="minorHAnsi"/>
        </w:rPr>
      </w:pPr>
    </w:p>
    <w:p w:rsidR="00D82C2E" w:rsidRPr="00D82C2E" w:rsidRDefault="00D82C2E" w:rsidP="00D82C2E">
      <w:pPr>
        <w:pStyle w:val="Prrafodelista"/>
        <w:numPr>
          <w:ilvl w:val="0"/>
          <w:numId w:val="19"/>
        </w:numPr>
        <w:jc w:val="both"/>
        <w:rPr>
          <w:rFonts w:eastAsia="Times New Roman" w:cs="Calibri"/>
          <w:b/>
          <w:vanish/>
          <w:u w:val="single"/>
          <w:lang w:eastAsia="es-ES"/>
        </w:rPr>
      </w:pPr>
    </w:p>
    <w:p w:rsidR="00E23866" w:rsidRPr="00D5098C" w:rsidRDefault="00E23866" w:rsidP="00D82C2E">
      <w:pPr>
        <w:pStyle w:val="Prrafodelista"/>
        <w:numPr>
          <w:ilvl w:val="0"/>
          <w:numId w:val="19"/>
        </w:numPr>
        <w:jc w:val="both"/>
        <w:rPr>
          <w:rFonts w:asciiTheme="minorHAnsi" w:eastAsia="Times New Roman" w:hAnsiTheme="minorHAnsi" w:cstheme="minorHAnsi"/>
          <w:b/>
          <w:u w:val="single"/>
          <w:lang w:eastAsia="es-ES"/>
        </w:rPr>
      </w:pPr>
      <w:r w:rsidRPr="00D82C2E">
        <w:rPr>
          <w:rFonts w:eastAsia="Times New Roman" w:cs="Calibri"/>
          <w:b/>
          <w:u w:val="single"/>
          <w:lang w:eastAsia="es-ES"/>
        </w:rPr>
        <w:t>MODIFICACIONES EN LAS INDICACIONES DE MEDICAMENTOS FINANCIADOS</w:t>
      </w:r>
      <w:r w:rsidRPr="00D5098C">
        <w:rPr>
          <w:rFonts w:asciiTheme="minorHAnsi" w:eastAsia="Times New Roman" w:hAnsiTheme="minorHAnsi" w:cstheme="minorHAnsi"/>
          <w:b/>
          <w:u w:val="single"/>
          <w:lang w:eastAsia="es-ES"/>
        </w:rPr>
        <w:t xml:space="preserve">: </w:t>
      </w:r>
    </w:p>
    <w:p w:rsidR="00E23866" w:rsidRPr="00D5098C" w:rsidRDefault="00E23866" w:rsidP="00E23866">
      <w:pPr>
        <w:spacing w:after="200" w:line="276" w:lineRule="auto"/>
        <w:ind w:left="709"/>
        <w:contextualSpacing/>
        <w:jc w:val="both"/>
        <w:rPr>
          <w:rFonts w:asciiTheme="minorHAnsi" w:hAnsiTheme="minorHAnsi" w:cs="Arial"/>
        </w:rPr>
      </w:pPr>
      <w:r w:rsidRPr="00D5098C">
        <w:rPr>
          <w:rFonts w:asciiTheme="minorHAnsi" w:hAnsiTheme="minorHAnsi" w:cs="Arial"/>
        </w:rPr>
        <w:t>Se destacan:</w:t>
      </w:r>
    </w:p>
    <w:p w:rsidR="00E23866" w:rsidRPr="00D5098C" w:rsidRDefault="009300B7" w:rsidP="00766469">
      <w:pPr>
        <w:spacing w:after="200" w:line="276" w:lineRule="auto"/>
        <w:ind w:left="709"/>
        <w:contextualSpacing/>
        <w:jc w:val="both"/>
        <w:rPr>
          <w:rFonts w:asciiTheme="minorHAnsi" w:hAnsiTheme="minorHAnsi" w:cs="Arial"/>
          <w:b/>
          <w:u w:val="single"/>
        </w:rPr>
      </w:pPr>
      <w:r w:rsidRPr="00D5098C">
        <w:rPr>
          <w:rFonts w:asciiTheme="minorHAnsi" w:hAnsiTheme="minorHAnsi" w:cs="Arial"/>
          <w:b/>
          <w:u w:val="single"/>
        </w:rPr>
        <w:t>NUEVAS INDICACIONES</w:t>
      </w:r>
      <w:r w:rsidR="00E23866" w:rsidRPr="00D5098C">
        <w:rPr>
          <w:rFonts w:asciiTheme="minorHAnsi" w:hAnsiTheme="minorHAnsi" w:cs="Arial"/>
          <w:b/>
          <w:u w:val="single"/>
        </w:rPr>
        <w:t>:</w:t>
      </w:r>
    </w:p>
    <w:p w:rsidR="00B00DD6" w:rsidRPr="00B00DD6" w:rsidRDefault="00B00DD6" w:rsidP="00B00DD6">
      <w:pPr>
        <w:autoSpaceDE w:val="0"/>
        <w:autoSpaceDN w:val="0"/>
        <w:adjustRightInd w:val="0"/>
        <w:ind w:left="1844"/>
        <w:jc w:val="both"/>
        <w:rPr>
          <w:rFonts w:asciiTheme="minorHAnsi" w:eastAsiaTheme="minorHAnsi" w:hAnsiTheme="minorHAnsi" w:cstheme="minorHAnsi"/>
          <w:color w:val="FF0000"/>
        </w:rPr>
      </w:pPr>
    </w:p>
    <w:p w:rsidR="00A07237" w:rsidRPr="00D82C2E" w:rsidRDefault="009D01AD" w:rsidP="00A07237">
      <w:pPr>
        <w:numPr>
          <w:ilvl w:val="0"/>
          <w:numId w:val="3"/>
        </w:numPr>
        <w:spacing w:after="200" w:line="276" w:lineRule="auto"/>
        <w:ind w:left="851"/>
        <w:contextualSpacing/>
        <w:jc w:val="both"/>
        <w:rPr>
          <w:rFonts w:asciiTheme="minorHAnsi" w:hAnsiTheme="minorHAnsi" w:cstheme="minorHAnsi"/>
          <w:b/>
          <w:u w:val="single"/>
        </w:rPr>
      </w:pPr>
      <w:r w:rsidRPr="00D82C2E">
        <w:rPr>
          <w:rFonts w:asciiTheme="minorHAnsi" w:hAnsiTheme="minorHAnsi" w:cstheme="minorHAnsi"/>
          <w:b/>
          <w:u w:val="single"/>
        </w:rPr>
        <w:t>EPYSQLI</w:t>
      </w:r>
      <w:r w:rsidR="00B00DD6" w:rsidRPr="00D82C2E">
        <w:rPr>
          <w:rFonts w:asciiTheme="minorHAnsi" w:hAnsiTheme="minorHAnsi" w:cstheme="minorHAnsi"/>
          <w:b/>
          <w:u w:val="single"/>
        </w:rPr>
        <w:t xml:space="preserve"> y BEKEMV</w:t>
      </w:r>
    </w:p>
    <w:p w:rsidR="00A07237" w:rsidRPr="00D82C2E" w:rsidRDefault="00A07237" w:rsidP="00A07237">
      <w:pPr>
        <w:spacing w:after="200" w:line="276" w:lineRule="auto"/>
        <w:ind w:left="491"/>
        <w:contextualSpacing/>
        <w:jc w:val="both"/>
        <w:rPr>
          <w:rFonts w:asciiTheme="minorHAnsi" w:hAnsiTheme="minorHAnsi" w:cstheme="minorHAnsi"/>
          <w:b/>
          <w:u w:val="single"/>
        </w:rPr>
      </w:pPr>
    </w:p>
    <w:tbl>
      <w:tblPr>
        <w:tblW w:w="942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7"/>
        <w:gridCol w:w="2835"/>
        <w:gridCol w:w="2268"/>
        <w:gridCol w:w="425"/>
        <w:gridCol w:w="425"/>
        <w:gridCol w:w="567"/>
        <w:gridCol w:w="993"/>
        <w:gridCol w:w="992"/>
      </w:tblGrid>
      <w:tr w:rsidR="00D82C2E" w:rsidRPr="00D82C2E" w:rsidTr="008E4B4E">
        <w:trPr>
          <w:trHeight w:val="375"/>
        </w:trPr>
        <w:tc>
          <w:tcPr>
            <w:tcW w:w="917" w:type="dxa"/>
            <w:shd w:val="clear" w:color="auto" w:fill="D9D9D9"/>
            <w:vAlign w:val="center"/>
            <w:hideMark/>
          </w:tcPr>
          <w:p w:rsidR="00A07237" w:rsidRPr="00D82C2E" w:rsidRDefault="00A07237" w:rsidP="008E4B4E">
            <w:pPr>
              <w:jc w:val="center"/>
              <w:rPr>
                <w:rFonts w:asciiTheme="minorHAnsi" w:hAnsiTheme="minorHAnsi" w:cstheme="minorHAnsi"/>
                <w:b/>
                <w:bCs/>
                <w:sz w:val="20"/>
                <w:szCs w:val="20"/>
              </w:rPr>
            </w:pPr>
            <w:r w:rsidRPr="00D82C2E">
              <w:rPr>
                <w:rFonts w:asciiTheme="minorHAnsi" w:hAnsiTheme="minorHAnsi" w:cstheme="minorHAnsi"/>
                <w:b/>
                <w:bCs/>
                <w:sz w:val="20"/>
                <w:szCs w:val="20"/>
              </w:rPr>
              <w:t xml:space="preserve">CN </w:t>
            </w:r>
          </w:p>
        </w:tc>
        <w:tc>
          <w:tcPr>
            <w:tcW w:w="2835" w:type="dxa"/>
            <w:shd w:val="clear" w:color="auto" w:fill="D9D9D9"/>
            <w:noWrap/>
            <w:vAlign w:val="center"/>
            <w:hideMark/>
          </w:tcPr>
          <w:p w:rsidR="00A07237" w:rsidRPr="00D82C2E" w:rsidRDefault="00A07237" w:rsidP="008E4B4E">
            <w:pPr>
              <w:jc w:val="center"/>
              <w:rPr>
                <w:rFonts w:asciiTheme="minorHAnsi" w:hAnsiTheme="minorHAnsi" w:cstheme="minorHAnsi"/>
                <w:b/>
                <w:bCs/>
                <w:sz w:val="20"/>
                <w:szCs w:val="20"/>
              </w:rPr>
            </w:pPr>
            <w:r w:rsidRPr="00D82C2E">
              <w:rPr>
                <w:rFonts w:asciiTheme="minorHAnsi" w:hAnsiTheme="minorHAnsi" w:cstheme="minorHAnsi"/>
                <w:b/>
                <w:bCs/>
                <w:sz w:val="20"/>
                <w:szCs w:val="20"/>
              </w:rPr>
              <w:t>NOMBRE</w:t>
            </w:r>
          </w:p>
        </w:tc>
        <w:tc>
          <w:tcPr>
            <w:tcW w:w="2268" w:type="dxa"/>
            <w:shd w:val="clear" w:color="auto" w:fill="D9D9D9"/>
            <w:vAlign w:val="center"/>
          </w:tcPr>
          <w:p w:rsidR="00A07237" w:rsidRPr="00D82C2E" w:rsidRDefault="00A07237" w:rsidP="008E4B4E">
            <w:pPr>
              <w:jc w:val="center"/>
              <w:rPr>
                <w:rFonts w:asciiTheme="minorHAnsi" w:hAnsiTheme="minorHAnsi" w:cstheme="minorHAnsi"/>
                <w:b/>
                <w:bCs/>
                <w:sz w:val="20"/>
                <w:szCs w:val="20"/>
              </w:rPr>
            </w:pPr>
            <w:r w:rsidRPr="00D82C2E">
              <w:rPr>
                <w:rFonts w:asciiTheme="minorHAnsi" w:hAnsiTheme="minorHAnsi" w:cstheme="minorHAnsi"/>
                <w:b/>
                <w:bCs/>
                <w:sz w:val="20"/>
                <w:szCs w:val="20"/>
              </w:rPr>
              <w:t>Principio activo</w:t>
            </w:r>
          </w:p>
        </w:tc>
        <w:tc>
          <w:tcPr>
            <w:tcW w:w="425" w:type="dxa"/>
            <w:shd w:val="solid" w:color="D9D9D9" w:themeColor="background1" w:themeShade="D9" w:fill="FFFFFF"/>
            <w:vAlign w:val="center"/>
          </w:tcPr>
          <w:p w:rsidR="00A07237" w:rsidRPr="00D82C2E" w:rsidRDefault="00A07237" w:rsidP="008E4B4E">
            <w:pPr>
              <w:autoSpaceDE w:val="0"/>
              <w:autoSpaceDN w:val="0"/>
              <w:adjustRightInd w:val="0"/>
              <w:jc w:val="center"/>
              <w:rPr>
                <w:rFonts w:asciiTheme="minorHAnsi" w:hAnsiTheme="minorHAnsi" w:cstheme="minorHAnsi"/>
                <w:b/>
                <w:bCs/>
                <w:sz w:val="20"/>
                <w:szCs w:val="20"/>
              </w:rPr>
            </w:pPr>
            <w:r w:rsidRPr="00D82C2E">
              <w:rPr>
                <w:rFonts w:asciiTheme="minorHAnsi" w:hAnsiTheme="minorHAnsi" w:cstheme="minorHAnsi"/>
                <w:b/>
                <w:bCs/>
                <w:sz w:val="20"/>
                <w:szCs w:val="20"/>
              </w:rPr>
              <w:t>DH</w:t>
            </w:r>
          </w:p>
        </w:tc>
        <w:tc>
          <w:tcPr>
            <w:tcW w:w="425" w:type="dxa"/>
            <w:shd w:val="solid" w:color="D9D9D9" w:themeColor="background1" w:themeShade="D9" w:fill="FFFFFF"/>
            <w:vAlign w:val="center"/>
          </w:tcPr>
          <w:p w:rsidR="00A07237" w:rsidRPr="00D82C2E" w:rsidRDefault="00A07237" w:rsidP="008E4B4E">
            <w:pPr>
              <w:autoSpaceDE w:val="0"/>
              <w:autoSpaceDN w:val="0"/>
              <w:adjustRightInd w:val="0"/>
              <w:jc w:val="center"/>
              <w:rPr>
                <w:rFonts w:asciiTheme="minorHAnsi" w:hAnsiTheme="minorHAnsi" w:cstheme="minorHAnsi"/>
                <w:b/>
                <w:bCs/>
                <w:sz w:val="20"/>
                <w:szCs w:val="20"/>
              </w:rPr>
            </w:pPr>
            <w:r w:rsidRPr="00D82C2E">
              <w:rPr>
                <w:rFonts w:asciiTheme="minorHAnsi" w:hAnsiTheme="minorHAnsi" w:cstheme="minorHAnsi"/>
                <w:b/>
                <w:bCs/>
                <w:sz w:val="20"/>
                <w:szCs w:val="20"/>
              </w:rPr>
              <w:t>UH</w:t>
            </w:r>
          </w:p>
        </w:tc>
        <w:tc>
          <w:tcPr>
            <w:tcW w:w="567" w:type="dxa"/>
            <w:shd w:val="solid" w:color="D9D9D9" w:themeColor="background1" w:themeShade="D9" w:fill="FFFFFF"/>
            <w:vAlign w:val="center"/>
          </w:tcPr>
          <w:p w:rsidR="00A07237" w:rsidRPr="00D82C2E" w:rsidRDefault="00A07237" w:rsidP="008E4B4E">
            <w:pPr>
              <w:autoSpaceDE w:val="0"/>
              <w:autoSpaceDN w:val="0"/>
              <w:adjustRightInd w:val="0"/>
              <w:jc w:val="center"/>
              <w:rPr>
                <w:rFonts w:asciiTheme="minorHAnsi" w:hAnsiTheme="minorHAnsi" w:cstheme="minorHAnsi"/>
                <w:b/>
                <w:bCs/>
                <w:sz w:val="20"/>
                <w:szCs w:val="20"/>
              </w:rPr>
            </w:pPr>
            <w:r w:rsidRPr="00D82C2E">
              <w:rPr>
                <w:rFonts w:asciiTheme="minorHAnsi" w:hAnsiTheme="minorHAnsi" w:cstheme="minorHAnsi"/>
                <w:b/>
                <w:bCs/>
                <w:sz w:val="20"/>
                <w:szCs w:val="20"/>
              </w:rPr>
              <w:t>SCP</w:t>
            </w:r>
          </w:p>
        </w:tc>
        <w:tc>
          <w:tcPr>
            <w:tcW w:w="993" w:type="dxa"/>
            <w:shd w:val="solid" w:color="D9D9D9" w:themeColor="background1" w:themeShade="D9" w:fill="FFFFFF"/>
            <w:vAlign w:val="center"/>
          </w:tcPr>
          <w:p w:rsidR="00A07237" w:rsidRPr="00D82C2E" w:rsidRDefault="00A07237" w:rsidP="008E4B4E">
            <w:pPr>
              <w:autoSpaceDE w:val="0"/>
              <w:autoSpaceDN w:val="0"/>
              <w:adjustRightInd w:val="0"/>
              <w:jc w:val="center"/>
              <w:rPr>
                <w:rFonts w:asciiTheme="minorHAnsi" w:hAnsiTheme="minorHAnsi" w:cstheme="minorHAnsi"/>
                <w:b/>
                <w:bCs/>
                <w:sz w:val="20"/>
                <w:szCs w:val="20"/>
              </w:rPr>
            </w:pPr>
            <w:r w:rsidRPr="00D82C2E">
              <w:rPr>
                <w:rFonts w:asciiTheme="minorHAnsi" w:hAnsiTheme="minorHAnsi" w:cstheme="minorHAnsi"/>
                <w:b/>
                <w:bCs/>
                <w:sz w:val="20"/>
                <w:szCs w:val="20"/>
              </w:rPr>
              <w:t>Biosimilar</w:t>
            </w:r>
          </w:p>
        </w:tc>
        <w:tc>
          <w:tcPr>
            <w:tcW w:w="992" w:type="dxa"/>
            <w:shd w:val="solid" w:color="D9D9D9" w:themeColor="background1" w:themeShade="D9" w:fill="FFFFFF"/>
            <w:vAlign w:val="center"/>
          </w:tcPr>
          <w:p w:rsidR="00A07237" w:rsidRPr="00D82C2E" w:rsidRDefault="00A07237" w:rsidP="008E4B4E">
            <w:pPr>
              <w:autoSpaceDE w:val="0"/>
              <w:autoSpaceDN w:val="0"/>
              <w:adjustRightInd w:val="0"/>
              <w:jc w:val="center"/>
              <w:rPr>
                <w:rFonts w:asciiTheme="minorHAnsi" w:hAnsiTheme="minorHAnsi" w:cstheme="minorHAnsi"/>
                <w:b/>
                <w:bCs/>
                <w:sz w:val="20"/>
                <w:szCs w:val="20"/>
              </w:rPr>
            </w:pPr>
            <w:r w:rsidRPr="00D82C2E">
              <w:rPr>
                <w:rFonts w:asciiTheme="minorHAnsi" w:hAnsiTheme="minorHAnsi" w:cstheme="minorHAnsi"/>
                <w:b/>
                <w:bCs/>
                <w:sz w:val="20"/>
                <w:szCs w:val="20"/>
              </w:rPr>
              <w:t>Huérfano</w:t>
            </w:r>
          </w:p>
        </w:tc>
      </w:tr>
      <w:tr w:rsidR="00D82C2E" w:rsidRPr="00D82C2E" w:rsidTr="008E4B4E">
        <w:trPr>
          <w:trHeight w:val="271"/>
        </w:trPr>
        <w:tc>
          <w:tcPr>
            <w:tcW w:w="917" w:type="dxa"/>
            <w:shd w:val="clear" w:color="auto" w:fill="auto"/>
            <w:vAlign w:val="center"/>
          </w:tcPr>
          <w:p w:rsidR="00A07237" w:rsidRPr="00D82C2E" w:rsidRDefault="009D01AD" w:rsidP="008E4B4E">
            <w:pPr>
              <w:jc w:val="center"/>
              <w:rPr>
                <w:rFonts w:asciiTheme="minorHAnsi" w:hAnsiTheme="minorHAnsi" w:cstheme="minorHAnsi"/>
                <w:bCs/>
                <w:sz w:val="20"/>
                <w:szCs w:val="20"/>
              </w:rPr>
            </w:pPr>
            <w:r w:rsidRPr="00D82C2E">
              <w:rPr>
                <w:rFonts w:asciiTheme="minorHAnsi" w:hAnsiTheme="minorHAnsi" w:cstheme="minorHAnsi"/>
                <w:bCs/>
                <w:sz w:val="20"/>
                <w:szCs w:val="20"/>
              </w:rPr>
              <w:t>762949</w:t>
            </w:r>
          </w:p>
        </w:tc>
        <w:tc>
          <w:tcPr>
            <w:tcW w:w="2835" w:type="dxa"/>
            <w:shd w:val="clear" w:color="auto" w:fill="auto"/>
            <w:vAlign w:val="center"/>
          </w:tcPr>
          <w:p w:rsidR="00A07237" w:rsidRPr="00D82C2E" w:rsidRDefault="009D01AD" w:rsidP="008E4B4E">
            <w:pPr>
              <w:rPr>
                <w:rFonts w:asciiTheme="minorHAnsi" w:hAnsiTheme="minorHAnsi" w:cstheme="minorHAnsi"/>
                <w:bCs/>
                <w:sz w:val="20"/>
                <w:szCs w:val="20"/>
              </w:rPr>
            </w:pPr>
            <w:r w:rsidRPr="00D82C2E">
              <w:rPr>
                <w:rFonts w:asciiTheme="minorHAnsi" w:hAnsiTheme="minorHAnsi" w:cstheme="minorHAnsi"/>
                <w:bCs/>
                <w:sz w:val="20"/>
                <w:szCs w:val="20"/>
              </w:rPr>
              <w:t>EPYSQLI 300MG 1 VIAL DE 30ML CONCENTRADO PARA SOLUCION PARA PERFUSION</w:t>
            </w:r>
          </w:p>
        </w:tc>
        <w:tc>
          <w:tcPr>
            <w:tcW w:w="2268" w:type="dxa"/>
            <w:vAlign w:val="center"/>
          </w:tcPr>
          <w:p w:rsidR="00A07237" w:rsidRPr="00D82C2E" w:rsidRDefault="009D01AD" w:rsidP="008E4B4E">
            <w:pPr>
              <w:jc w:val="center"/>
              <w:rPr>
                <w:rFonts w:asciiTheme="minorHAnsi" w:hAnsiTheme="minorHAnsi" w:cstheme="minorHAnsi"/>
                <w:bCs/>
                <w:sz w:val="20"/>
                <w:szCs w:val="20"/>
              </w:rPr>
            </w:pPr>
            <w:r w:rsidRPr="00D82C2E">
              <w:rPr>
                <w:rFonts w:asciiTheme="minorHAnsi" w:hAnsiTheme="minorHAnsi" w:cstheme="minorHAnsi"/>
                <w:bCs/>
                <w:sz w:val="20"/>
                <w:szCs w:val="20"/>
              </w:rPr>
              <w:t>ECULIZUMAB</w:t>
            </w:r>
          </w:p>
        </w:tc>
        <w:tc>
          <w:tcPr>
            <w:tcW w:w="425" w:type="dxa"/>
            <w:vAlign w:val="center"/>
          </w:tcPr>
          <w:p w:rsidR="00A07237" w:rsidRPr="00D82C2E" w:rsidRDefault="00A07237" w:rsidP="008E4B4E">
            <w:pPr>
              <w:jc w:val="center"/>
            </w:pPr>
          </w:p>
        </w:tc>
        <w:tc>
          <w:tcPr>
            <w:tcW w:w="425" w:type="dxa"/>
            <w:vAlign w:val="center"/>
          </w:tcPr>
          <w:p w:rsidR="00A07237" w:rsidRPr="00D82C2E" w:rsidRDefault="00A07237" w:rsidP="008E4B4E">
            <w:pPr>
              <w:jc w:val="center"/>
            </w:pPr>
            <w:r w:rsidRPr="00D82C2E">
              <w:rPr>
                <w:rFonts w:asciiTheme="minorHAnsi" w:hAnsiTheme="minorHAnsi" w:cs="Arial"/>
                <w:bCs/>
                <w:sz w:val="20"/>
                <w:szCs w:val="20"/>
              </w:rPr>
              <w:t>√</w:t>
            </w:r>
          </w:p>
        </w:tc>
        <w:tc>
          <w:tcPr>
            <w:tcW w:w="567" w:type="dxa"/>
            <w:vAlign w:val="center"/>
          </w:tcPr>
          <w:p w:rsidR="00A07237" w:rsidRPr="00D82C2E" w:rsidRDefault="00A07237" w:rsidP="008E4B4E">
            <w:pPr>
              <w:jc w:val="center"/>
            </w:pPr>
          </w:p>
        </w:tc>
        <w:tc>
          <w:tcPr>
            <w:tcW w:w="993" w:type="dxa"/>
            <w:vAlign w:val="center"/>
          </w:tcPr>
          <w:p w:rsidR="00A07237" w:rsidRPr="00D82C2E" w:rsidRDefault="003F5C51" w:rsidP="008E4B4E">
            <w:pPr>
              <w:ind w:left="72" w:firstLine="4"/>
              <w:jc w:val="center"/>
              <w:rPr>
                <w:rFonts w:asciiTheme="minorHAnsi" w:hAnsiTheme="minorHAnsi" w:cstheme="minorHAnsi"/>
                <w:bCs/>
                <w:sz w:val="20"/>
                <w:szCs w:val="20"/>
              </w:rPr>
            </w:pPr>
            <w:r w:rsidRPr="00D82C2E">
              <w:rPr>
                <w:rFonts w:asciiTheme="minorHAnsi" w:hAnsiTheme="minorHAnsi" w:cs="Arial"/>
                <w:bCs/>
                <w:sz w:val="20"/>
                <w:szCs w:val="20"/>
              </w:rPr>
              <w:t>√</w:t>
            </w:r>
          </w:p>
        </w:tc>
        <w:tc>
          <w:tcPr>
            <w:tcW w:w="992" w:type="dxa"/>
            <w:vAlign w:val="center"/>
          </w:tcPr>
          <w:p w:rsidR="00A07237" w:rsidRPr="00D82C2E" w:rsidRDefault="00A07237" w:rsidP="008E4B4E">
            <w:pPr>
              <w:jc w:val="center"/>
              <w:rPr>
                <w:rFonts w:asciiTheme="minorHAnsi" w:hAnsiTheme="minorHAnsi" w:cstheme="minorHAnsi"/>
                <w:bCs/>
                <w:sz w:val="20"/>
                <w:szCs w:val="20"/>
              </w:rPr>
            </w:pPr>
          </w:p>
        </w:tc>
      </w:tr>
      <w:tr w:rsidR="00B00DD6" w:rsidRPr="00D82C2E" w:rsidTr="008E4B4E">
        <w:trPr>
          <w:trHeight w:val="271"/>
        </w:trPr>
        <w:tc>
          <w:tcPr>
            <w:tcW w:w="917" w:type="dxa"/>
            <w:shd w:val="clear" w:color="auto" w:fill="auto"/>
            <w:vAlign w:val="center"/>
          </w:tcPr>
          <w:p w:rsidR="00B00DD6" w:rsidRPr="00D82C2E" w:rsidRDefault="00B00DD6" w:rsidP="00B00DD6">
            <w:pPr>
              <w:jc w:val="center"/>
              <w:rPr>
                <w:rFonts w:asciiTheme="minorHAnsi" w:hAnsiTheme="minorHAnsi" w:cstheme="minorHAnsi"/>
                <w:bCs/>
                <w:sz w:val="20"/>
                <w:szCs w:val="20"/>
              </w:rPr>
            </w:pPr>
            <w:r w:rsidRPr="00D82C2E">
              <w:rPr>
                <w:rFonts w:asciiTheme="minorHAnsi" w:hAnsiTheme="minorHAnsi" w:cstheme="minorHAnsi"/>
                <w:bCs/>
                <w:sz w:val="20"/>
                <w:szCs w:val="20"/>
              </w:rPr>
              <w:t>762474</w:t>
            </w:r>
          </w:p>
        </w:tc>
        <w:tc>
          <w:tcPr>
            <w:tcW w:w="2835" w:type="dxa"/>
            <w:shd w:val="clear" w:color="auto" w:fill="auto"/>
            <w:vAlign w:val="center"/>
          </w:tcPr>
          <w:p w:rsidR="00B00DD6" w:rsidRPr="00D82C2E" w:rsidRDefault="00B00DD6" w:rsidP="00B00DD6">
            <w:pPr>
              <w:rPr>
                <w:rFonts w:asciiTheme="minorHAnsi" w:hAnsiTheme="minorHAnsi" w:cstheme="minorHAnsi"/>
                <w:bCs/>
                <w:sz w:val="20"/>
                <w:szCs w:val="20"/>
              </w:rPr>
            </w:pPr>
            <w:r w:rsidRPr="00D82C2E">
              <w:rPr>
                <w:rFonts w:asciiTheme="minorHAnsi" w:hAnsiTheme="minorHAnsi" w:cstheme="minorHAnsi"/>
                <w:bCs/>
                <w:sz w:val="20"/>
                <w:szCs w:val="20"/>
              </w:rPr>
              <w:t>BEKEMV 300MG  1 VIAL 30ML CONCENTRADO PARA SOLUCION PARA PERFUSION</w:t>
            </w:r>
          </w:p>
        </w:tc>
        <w:tc>
          <w:tcPr>
            <w:tcW w:w="2268" w:type="dxa"/>
            <w:vAlign w:val="center"/>
          </w:tcPr>
          <w:p w:rsidR="00B00DD6" w:rsidRPr="00D82C2E" w:rsidRDefault="00B00DD6" w:rsidP="00B00DD6">
            <w:pPr>
              <w:jc w:val="center"/>
              <w:rPr>
                <w:rFonts w:asciiTheme="minorHAnsi" w:hAnsiTheme="minorHAnsi" w:cstheme="minorHAnsi"/>
                <w:bCs/>
                <w:sz w:val="20"/>
                <w:szCs w:val="20"/>
              </w:rPr>
            </w:pPr>
            <w:r w:rsidRPr="00D82C2E">
              <w:rPr>
                <w:rFonts w:asciiTheme="minorHAnsi" w:hAnsiTheme="minorHAnsi" w:cstheme="minorHAnsi"/>
                <w:bCs/>
                <w:sz w:val="20"/>
                <w:szCs w:val="20"/>
              </w:rPr>
              <w:t>ECULIZUMAB</w:t>
            </w:r>
          </w:p>
        </w:tc>
        <w:tc>
          <w:tcPr>
            <w:tcW w:w="425" w:type="dxa"/>
            <w:vAlign w:val="center"/>
          </w:tcPr>
          <w:p w:rsidR="00B00DD6" w:rsidRPr="00D82C2E" w:rsidRDefault="00B00DD6" w:rsidP="00B00DD6">
            <w:pPr>
              <w:jc w:val="center"/>
            </w:pPr>
          </w:p>
        </w:tc>
        <w:tc>
          <w:tcPr>
            <w:tcW w:w="425" w:type="dxa"/>
            <w:vAlign w:val="center"/>
          </w:tcPr>
          <w:p w:rsidR="00B00DD6" w:rsidRPr="00D82C2E" w:rsidRDefault="00B00DD6" w:rsidP="00B00DD6">
            <w:pPr>
              <w:jc w:val="center"/>
            </w:pPr>
            <w:r w:rsidRPr="00D82C2E">
              <w:rPr>
                <w:rFonts w:asciiTheme="minorHAnsi" w:hAnsiTheme="minorHAnsi" w:cs="Arial"/>
                <w:bCs/>
                <w:sz w:val="20"/>
                <w:szCs w:val="20"/>
              </w:rPr>
              <w:t>√</w:t>
            </w:r>
          </w:p>
        </w:tc>
        <w:tc>
          <w:tcPr>
            <w:tcW w:w="567" w:type="dxa"/>
            <w:vAlign w:val="center"/>
          </w:tcPr>
          <w:p w:rsidR="00B00DD6" w:rsidRPr="00D82C2E" w:rsidRDefault="00B00DD6" w:rsidP="00B00DD6">
            <w:pPr>
              <w:jc w:val="center"/>
            </w:pPr>
          </w:p>
        </w:tc>
        <w:tc>
          <w:tcPr>
            <w:tcW w:w="993" w:type="dxa"/>
            <w:vAlign w:val="center"/>
          </w:tcPr>
          <w:p w:rsidR="00B00DD6" w:rsidRPr="00D82C2E" w:rsidRDefault="00B00DD6" w:rsidP="00B00DD6">
            <w:pPr>
              <w:ind w:left="72" w:firstLine="4"/>
              <w:jc w:val="center"/>
              <w:rPr>
                <w:rFonts w:asciiTheme="minorHAnsi" w:hAnsiTheme="minorHAnsi" w:cstheme="minorHAnsi"/>
                <w:bCs/>
                <w:sz w:val="20"/>
                <w:szCs w:val="20"/>
              </w:rPr>
            </w:pPr>
            <w:r w:rsidRPr="00D82C2E">
              <w:rPr>
                <w:rFonts w:asciiTheme="minorHAnsi" w:hAnsiTheme="minorHAnsi" w:cs="Arial"/>
                <w:bCs/>
                <w:sz w:val="20"/>
                <w:szCs w:val="20"/>
              </w:rPr>
              <w:t>√</w:t>
            </w:r>
          </w:p>
        </w:tc>
        <w:tc>
          <w:tcPr>
            <w:tcW w:w="992" w:type="dxa"/>
            <w:vAlign w:val="center"/>
          </w:tcPr>
          <w:p w:rsidR="00B00DD6" w:rsidRPr="00D82C2E" w:rsidRDefault="00B00DD6" w:rsidP="00B00DD6">
            <w:pPr>
              <w:jc w:val="center"/>
              <w:rPr>
                <w:rFonts w:asciiTheme="minorHAnsi" w:hAnsiTheme="minorHAnsi" w:cstheme="minorHAnsi"/>
                <w:bCs/>
                <w:sz w:val="20"/>
                <w:szCs w:val="20"/>
              </w:rPr>
            </w:pPr>
          </w:p>
        </w:tc>
      </w:tr>
    </w:tbl>
    <w:p w:rsidR="00E220CA" w:rsidRPr="00D82C2E" w:rsidRDefault="00E220CA" w:rsidP="00E220CA">
      <w:pPr>
        <w:autoSpaceDE w:val="0"/>
        <w:autoSpaceDN w:val="0"/>
        <w:adjustRightInd w:val="0"/>
        <w:jc w:val="both"/>
        <w:rPr>
          <w:rFonts w:asciiTheme="minorHAnsi" w:eastAsiaTheme="minorHAnsi" w:hAnsiTheme="minorHAnsi" w:cstheme="minorHAnsi"/>
        </w:rPr>
      </w:pPr>
    </w:p>
    <w:p w:rsidR="00A07237" w:rsidRPr="00D82C2E" w:rsidRDefault="00A07237" w:rsidP="00F065CF">
      <w:pPr>
        <w:pStyle w:val="Prrafodelista"/>
        <w:numPr>
          <w:ilvl w:val="1"/>
          <w:numId w:val="7"/>
        </w:numPr>
        <w:spacing w:after="200" w:line="276" w:lineRule="auto"/>
        <w:contextualSpacing/>
        <w:jc w:val="both"/>
        <w:rPr>
          <w:rFonts w:asciiTheme="minorHAnsi" w:hAnsiTheme="minorHAnsi" w:cstheme="minorHAnsi"/>
          <w:b/>
          <w:u w:val="single"/>
        </w:rPr>
      </w:pPr>
      <w:r w:rsidRPr="00D82C2E">
        <w:rPr>
          <w:rFonts w:asciiTheme="minorHAnsi" w:eastAsiaTheme="minorHAnsi" w:hAnsiTheme="minorHAnsi" w:cstheme="minorHAnsi"/>
          <w:b/>
        </w:rPr>
        <w:t>Nueva indicación financiada:</w:t>
      </w:r>
      <w:r w:rsidRPr="00D82C2E">
        <w:rPr>
          <w:rFonts w:ascii="Helvetica" w:hAnsi="Helvetica"/>
          <w:shd w:val="clear" w:color="auto" w:fill="FFFFFF"/>
        </w:rPr>
        <w:t xml:space="preserve"> </w:t>
      </w:r>
      <w:r w:rsidR="003F5C51" w:rsidRPr="00D82C2E">
        <w:rPr>
          <w:rFonts w:ascii="Helvetica" w:hAnsi="Helvetica"/>
          <w:shd w:val="clear" w:color="auto" w:fill="FFFFFF"/>
        </w:rPr>
        <w:t>E</w:t>
      </w:r>
      <w:r w:rsidR="003F5C51" w:rsidRPr="00D82C2E">
        <w:rPr>
          <w:rFonts w:asciiTheme="minorHAnsi" w:hAnsiTheme="minorHAnsi" w:cstheme="minorHAnsi"/>
          <w:shd w:val="clear" w:color="auto" w:fill="FFFFFF"/>
        </w:rPr>
        <w:t>n adultos y niños para el tratamiento de síndrome hemolítico urémico atípico (</w:t>
      </w:r>
      <w:proofErr w:type="spellStart"/>
      <w:r w:rsidR="003F5C51" w:rsidRPr="00D82C2E">
        <w:rPr>
          <w:rFonts w:asciiTheme="minorHAnsi" w:hAnsiTheme="minorHAnsi" w:cstheme="minorHAnsi"/>
          <w:shd w:val="clear" w:color="auto" w:fill="FFFFFF"/>
        </w:rPr>
        <w:t>SHUa</w:t>
      </w:r>
      <w:proofErr w:type="spellEnd"/>
      <w:r w:rsidR="003F5C51" w:rsidRPr="00D82C2E">
        <w:rPr>
          <w:rFonts w:asciiTheme="minorHAnsi" w:hAnsiTheme="minorHAnsi" w:cstheme="minorHAnsi"/>
          <w:shd w:val="clear" w:color="auto" w:fill="FFFFFF"/>
        </w:rPr>
        <w:t>) </w:t>
      </w:r>
    </w:p>
    <w:p w:rsidR="00A07237" w:rsidRPr="00D82C2E" w:rsidRDefault="00A07237" w:rsidP="00F065CF">
      <w:pPr>
        <w:pStyle w:val="Prrafodelista"/>
        <w:numPr>
          <w:ilvl w:val="1"/>
          <w:numId w:val="7"/>
        </w:numPr>
        <w:spacing w:after="200" w:line="276" w:lineRule="auto"/>
        <w:contextualSpacing/>
        <w:jc w:val="both"/>
        <w:rPr>
          <w:rFonts w:asciiTheme="minorHAnsi" w:hAnsiTheme="minorHAnsi" w:cstheme="minorHAnsi"/>
          <w:b/>
          <w:u w:val="single"/>
        </w:rPr>
      </w:pPr>
      <w:r w:rsidRPr="00D82C2E">
        <w:rPr>
          <w:rFonts w:asciiTheme="minorHAnsi" w:eastAsiaTheme="minorHAnsi" w:hAnsiTheme="minorHAnsi" w:cstheme="minorHAnsi"/>
          <w:b/>
        </w:rPr>
        <w:t>Revisa precio</w:t>
      </w:r>
    </w:p>
    <w:p w:rsidR="004A0E91" w:rsidRPr="00D82C2E" w:rsidRDefault="004A0E91" w:rsidP="004A0E91">
      <w:pPr>
        <w:pStyle w:val="Prrafodelista"/>
        <w:numPr>
          <w:ilvl w:val="0"/>
          <w:numId w:val="3"/>
        </w:numPr>
        <w:jc w:val="both"/>
        <w:rPr>
          <w:rFonts w:asciiTheme="minorHAnsi" w:eastAsia="Times New Roman" w:hAnsiTheme="minorHAnsi" w:cs="Arial"/>
          <w:b/>
          <w:u w:val="single"/>
          <w:lang w:eastAsia="es-ES"/>
        </w:rPr>
      </w:pPr>
      <w:r w:rsidRPr="00D82C2E">
        <w:rPr>
          <w:rFonts w:asciiTheme="minorHAnsi" w:eastAsia="Times New Roman" w:hAnsiTheme="minorHAnsi" w:cs="Arial"/>
          <w:b/>
          <w:u w:val="single"/>
          <w:lang w:eastAsia="es-ES"/>
        </w:rPr>
        <w:t>JARDIANCE</w:t>
      </w:r>
    </w:p>
    <w:p w:rsidR="004A0E91" w:rsidRPr="00D82C2E" w:rsidRDefault="004A0E91" w:rsidP="004A0E91">
      <w:pPr>
        <w:jc w:val="both"/>
        <w:rPr>
          <w:rFonts w:asciiTheme="minorHAnsi" w:eastAsia="Times New Roman" w:hAnsiTheme="minorHAnsi" w:cs="Arial"/>
          <w:lang w:eastAsia="es-ES"/>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0"/>
        <w:gridCol w:w="2835"/>
        <w:gridCol w:w="1843"/>
        <w:gridCol w:w="567"/>
        <w:gridCol w:w="850"/>
        <w:gridCol w:w="709"/>
        <w:gridCol w:w="992"/>
        <w:gridCol w:w="993"/>
      </w:tblGrid>
      <w:tr w:rsidR="00D82C2E" w:rsidRPr="00D82C2E" w:rsidTr="00910A1A">
        <w:trPr>
          <w:trHeight w:val="353"/>
        </w:trPr>
        <w:tc>
          <w:tcPr>
            <w:tcW w:w="850" w:type="dxa"/>
            <w:shd w:val="solid" w:color="D9D9D9" w:themeColor="background1" w:themeShade="D9" w:fill="FFFFFF"/>
            <w:vAlign w:val="center"/>
          </w:tcPr>
          <w:p w:rsidR="004A0E91" w:rsidRPr="00D82C2E" w:rsidRDefault="004A0E91" w:rsidP="00910A1A">
            <w:pPr>
              <w:jc w:val="center"/>
              <w:rPr>
                <w:rFonts w:asciiTheme="minorHAnsi" w:hAnsiTheme="minorHAnsi" w:cs="Arial"/>
                <w:b/>
                <w:sz w:val="20"/>
                <w:szCs w:val="20"/>
              </w:rPr>
            </w:pPr>
            <w:r w:rsidRPr="00D82C2E">
              <w:rPr>
                <w:rFonts w:asciiTheme="minorHAnsi" w:hAnsiTheme="minorHAnsi" w:cs="Arial"/>
                <w:b/>
                <w:sz w:val="20"/>
                <w:szCs w:val="20"/>
              </w:rPr>
              <w:t>CN</w:t>
            </w:r>
          </w:p>
        </w:tc>
        <w:tc>
          <w:tcPr>
            <w:tcW w:w="2835" w:type="dxa"/>
            <w:shd w:val="solid" w:color="D9D9D9" w:themeColor="background1" w:themeShade="D9" w:fill="FFFFFF"/>
            <w:vAlign w:val="center"/>
          </w:tcPr>
          <w:p w:rsidR="004A0E91" w:rsidRPr="00D82C2E" w:rsidRDefault="004A0E91" w:rsidP="00910A1A">
            <w:pPr>
              <w:jc w:val="center"/>
              <w:rPr>
                <w:rFonts w:asciiTheme="minorHAnsi" w:hAnsiTheme="minorHAnsi" w:cs="Arial"/>
                <w:b/>
                <w:sz w:val="20"/>
                <w:szCs w:val="20"/>
              </w:rPr>
            </w:pPr>
            <w:r w:rsidRPr="00D82C2E">
              <w:rPr>
                <w:rFonts w:asciiTheme="minorHAnsi" w:hAnsiTheme="minorHAnsi" w:cs="Arial"/>
                <w:b/>
                <w:sz w:val="20"/>
                <w:szCs w:val="20"/>
              </w:rPr>
              <w:t>NOMBRE</w:t>
            </w:r>
          </w:p>
        </w:tc>
        <w:tc>
          <w:tcPr>
            <w:tcW w:w="1843" w:type="dxa"/>
            <w:shd w:val="solid" w:color="D9D9D9" w:themeColor="background1" w:themeShade="D9" w:fill="FFFFFF"/>
            <w:vAlign w:val="center"/>
          </w:tcPr>
          <w:p w:rsidR="004A0E91" w:rsidRPr="00D82C2E" w:rsidRDefault="004A0E91" w:rsidP="00910A1A">
            <w:pPr>
              <w:autoSpaceDE w:val="0"/>
              <w:autoSpaceDN w:val="0"/>
              <w:adjustRightInd w:val="0"/>
              <w:jc w:val="center"/>
              <w:rPr>
                <w:rFonts w:asciiTheme="minorHAnsi" w:eastAsiaTheme="minorHAnsi" w:hAnsiTheme="minorHAnsi" w:cs="Arial"/>
                <w:b/>
                <w:bCs/>
                <w:sz w:val="20"/>
                <w:szCs w:val="20"/>
              </w:rPr>
            </w:pPr>
            <w:r w:rsidRPr="00D82C2E">
              <w:rPr>
                <w:rFonts w:asciiTheme="minorHAnsi" w:eastAsiaTheme="minorHAnsi" w:hAnsiTheme="minorHAnsi" w:cs="Arial"/>
                <w:b/>
                <w:bCs/>
                <w:sz w:val="20"/>
                <w:szCs w:val="20"/>
              </w:rPr>
              <w:t>Principio activo</w:t>
            </w:r>
          </w:p>
        </w:tc>
        <w:tc>
          <w:tcPr>
            <w:tcW w:w="567" w:type="dxa"/>
            <w:shd w:val="solid" w:color="D9D9D9" w:themeColor="background1" w:themeShade="D9" w:fill="FFFFFF"/>
            <w:vAlign w:val="center"/>
          </w:tcPr>
          <w:p w:rsidR="004A0E91" w:rsidRPr="00D82C2E" w:rsidRDefault="004A0E91" w:rsidP="00910A1A">
            <w:pPr>
              <w:autoSpaceDE w:val="0"/>
              <w:autoSpaceDN w:val="0"/>
              <w:adjustRightInd w:val="0"/>
              <w:jc w:val="center"/>
              <w:rPr>
                <w:rFonts w:asciiTheme="minorHAnsi" w:eastAsiaTheme="minorHAnsi" w:hAnsiTheme="minorHAnsi" w:cs="Arial"/>
                <w:b/>
                <w:bCs/>
                <w:sz w:val="20"/>
                <w:szCs w:val="20"/>
              </w:rPr>
            </w:pPr>
            <w:r w:rsidRPr="00D82C2E">
              <w:rPr>
                <w:rFonts w:asciiTheme="minorHAnsi" w:eastAsiaTheme="minorHAnsi" w:hAnsiTheme="minorHAnsi" w:cs="Arial"/>
                <w:b/>
                <w:bCs/>
                <w:sz w:val="20"/>
                <w:szCs w:val="20"/>
              </w:rPr>
              <w:t>DH</w:t>
            </w:r>
          </w:p>
        </w:tc>
        <w:tc>
          <w:tcPr>
            <w:tcW w:w="850" w:type="dxa"/>
            <w:shd w:val="solid" w:color="D9D9D9" w:themeColor="background1" w:themeShade="D9" w:fill="FFFFFF"/>
            <w:vAlign w:val="center"/>
          </w:tcPr>
          <w:p w:rsidR="004A0E91" w:rsidRPr="00D82C2E" w:rsidRDefault="004A0E91" w:rsidP="00910A1A">
            <w:pPr>
              <w:autoSpaceDE w:val="0"/>
              <w:autoSpaceDN w:val="0"/>
              <w:adjustRightInd w:val="0"/>
              <w:jc w:val="center"/>
              <w:rPr>
                <w:rFonts w:asciiTheme="minorHAnsi" w:eastAsiaTheme="minorHAnsi" w:hAnsiTheme="minorHAnsi" w:cs="Arial"/>
                <w:b/>
                <w:bCs/>
                <w:sz w:val="20"/>
                <w:szCs w:val="20"/>
              </w:rPr>
            </w:pPr>
            <w:r w:rsidRPr="00D82C2E">
              <w:rPr>
                <w:rFonts w:asciiTheme="minorHAnsi" w:eastAsiaTheme="minorHAnsi" w:hAnsiTheme="minorHAnsi" w:cs="Arial"/>
                <w:b/>
                <w:bCs/>
                <w:sz w:val="20"/>
                <w:szCs w:val="20"/>
              </w:rPr>
              <w:t>UH</w:t>
            </w:r>
          </w:p>
        </w:tc>
        <w:tc>
          <w:tcPr>
            <w:tcW w:w="709" w:type="dxa"/>
            <w:shd w:val="solid" w:color="D9D9D9" w:themeColor="background1" w:themeShade="D9" w:fill="FFFFFF"/>
            <w:vAlign w:val="center"/>
          </w:tcPr>
          <w:p w:rsidR="004A0E91" w:rsidRPr="00D82C2E" w:rsidRDefault="004A0E91" w:rsidP="00910A1A">
            <w:pPr>
              <w:autoSpaceDE w:val="0"/>
              <w:autoSpaceDN w:val="0"/>
              <w:adjustRightInd w:val="0"/>
              <w:jc w:val="center"/>
              <w:rPr>
                <w:rFonts w:asciiTheme="minorHAnsi" w:eastAsiaTheme="minorHAnsi" w:hAnsiTheme="minorHAnsi" w:cs="Arial"/>
                <w:b/>
                <w:bCs/>
                <w:sz w:val="20"/>
                <w:szCs w:val="20"/>
              </w:rPr>
            </w:pPr>
            <w:r w:rsidRPr="00D82C2E">
              <w:rPr>
                <w:rFonts w:asciiTheme="minorHAnsi" w:eastAsiaTheme="minorHAnsi" w:hAnsiTheme="minorHAnsi" w:cs="Arial"/>
                <w:b/>
                <w:bCs/>
                <w:sz w:val="20"/>
                <w:szCs w:val="20"/>
              </w:rPr>
              <w:t>SCP</w:t>
            </w:r>
          </w:p>
        </w:tc>
        <w:tc>
          <w:tcPr>
            <w:tcW w:w="992" w:type="dxa"/>
            <w:shd w:val="solid" w:color="D9D9D9" w:themeColor="background1" w:themeShade="D9" w:fill="FFFFFF"/>
            <w:vAlign w:val="center"/>
          </w:tcPr>
          <w:p w:rsidR="004A0E91" w:rsidRPr="00D82C2E" w:rsidRDefault="004A0E91" w:rsidP="00910A1A">
            <w:pPr>
              <w:autoSpaceDE w:val="0"/>
              <w:autoSpaceDN w:val="0"/>
              <w:adjustRightInd w:val="0"/>
              <w:jc w:val="center"/>
              <w:rPr>
                <w:rFonts w:asciiTheme="minorHAnsi" w:eastAsiaTheme="minorHAnsi" w:hAnsiTheme="minorHAnsi" w:cs="Arial"/>
                <w:b/>
                <w:bCs/>
                <w:sz w:val="20"/>
                <w:szCs w:val="20"/>
              </w:rPr>
            </w:pPr>
            <w:r w:rsidRPr="00D82C2E">
              <w:rPr>
                <w:rFonts w:asciiTheme="minorHAnsi" w:eastAsiaTheme="minorHAnsi" w:hAnsiTheme="minorHAnsi" w:cs="Arial"/>
                <w:b/>
                <w:bCs/>
                <w:sz w:val="20"/>
                <w:szCs w:val="20"/>
              </w:rPr>
              <w:t>Biosimilar</w:t>
            </w:r>
          </w:p>
        </w:tc>
        <w:tc>
          <w:tcPr>
            <w:tcW w:w="993" w:type="dxa"/>
            <w:shd w:val="solid" w:color="D9D9D9" w:themeColor="background1" w:themeShade="D9" w:fill="FFFFFF"/>
            <w:vAlign w:val="center"/>
          </w:tcPr>
          <w:p w:rsidR="004A0E91" w:rsidRPr="00D82C2E" w:rsidRDefault="004A0E91" w:rsidP="00910A1A">
            <w:pPr>
              <w:autoSpaceDE w:val="0"/>
              <w:autoSpaceDN w:val="0"/>
              <w:adjustRightInd w:val="0"/>
              <w:jc w:val="center"/>
              <w:rPr>
                <w:rFonts w:asciiTheme="minorHAnsi" w:eastAsiaTheme="minorHAnsi" w:hAnsiTheme="minorHAnsi" w:cs="Arial"/>
                <w:b/>
                <w:bCs/>
                <w:sz w:val="20"/>
                <w:szCs w:val="20"/>
              </w:rPr>
            </w:pPr>
            <w:r w:rsidRPr="00D82C2E">
              <w:rPr>
                <w:rFonts w:asciiTheme="minorHAnsi" w:eastAsiaTheme="minorHAnsi" w:hAnsiTheme="minorHAnsi" w:cs="Arial"/>
                <w:b/>
                <w:bCs/>
                <w:sz w:val="20"/>
                <w:szCs w:val="20"/>
              </w:rPr>
              <w:t>Huérfano</w:t>
            </w:r>
          </w:p>
        </w:tc>
      </w:tr>
      <w:tr w:rsidR="00D82C2E" w:rsidRPr="00D82C2E" w:rsidTr="00910A1A">
        <w:trPr>
          <w:trHeight w:val="353"/>
        </w:trPr>
        <w:tc>
          <w:tcPr>
            <w:tcW w:w="850" w:type="dxa"/>
            <w:shd w:val="solid" w:color="FFFFFF" w:fill="FFFFFF"/>
            <w:vAlign w:val="center"/>
          </w:tcPr>
          <w:p w:rsidR="004A0E91" w:rsidRPr="00D82C2E" w:rsidRDefault="00082813" w:rsidP="00910A1A">
            <w:pPr>
              <w:autoSpaceDE w:val="0"/>
              <w:autoSpaceDN w:val="0"/>
              <w:adjustRightInd w:val="0"/>
              <w:jc w:val="center"/>
              <w:rPr>
                <w:rFonts w:asciiTheme="minorHAnsi" w:eastAsiaTheme="minorHAnsi" w:hAnsiTheme="minorHAnsi" w:cs="Arial"/>
                <w:sz w:val="20"/>
                <w:szCs w:val="20"/>
              </w:rPr>
            </w:pPr>
            <w:r w:rsidRPr="00D82C2E">
              <w:rPr>
                <w:rFonts w:asciiTheme="minorHAnsi" w:eastAsiaTheme="minorHAnsi" w:hAnsiTheme="minorHAnsi" w:cs="Arial"/>
                <w:sz w:val="20"/>
                <w:szCs w:val="20"/>
              </w:rPr>
              <w:t>702686</w:t>
            </w:r>
          </w:p>
        </w:tc>
        <w:tc>
          <w:tcPr>
            <w:tcW w:w="2835" w:type="dxa"/>
            <w:shd w:val="solid" w:color="FFFFFF" w:fill="FFFFFF"/>
            <w:vAlign w:val="center"/>
          </w:tcPr>
          <w:p w:rsidR="004A0E91" w:rsidRPr="00D82C2E" w:rsidRDefault="00082813" w:rsidP="00910A1A">
            <w:pPr>
              <w:autoSpaceDE w:val="0"/>
              <w:autoSpaceDN w:val="0"/>
              <w:adjustRightInd w:val="0"/>
              <w:rPr>
                <w:rFonts w:asciiTheme="minorHAnsi" w:eastAsiaTheme="minorHAnsi" w:hAnsiTheme="minorHAnsi" w:cs="Arial"/>
                <w:sz w:val="20"/>
                <w:szCs w:val="20"/>
              </w:rPr>
            </w:pPr>
            <w:r w:rsidRPr="00D82C2E">
              <w:rPr>
                <w:rFonts w:asciiTheme="minorHAnsi" w:eastAsiaTheme="minorHAnsi" w:hAnsiTheme="minorHAnsi" w:cs="Arial"/>
                <w:sz w:val="20"/>
                <w:szCs w:val="20"/>
              </w:rPr>
              <w:t>JARDIANCE 10MG 30 COMPRIMIDOS RECUBIERTOS CON PELICULA</w:t>
            </w:r>
          </w:p>
        </w:tc>
        <w:tc>
          <w:tcPr>
            <w:tcW w:w="1843" w:type="dxa"/>
            <w:shd w:val="solid" w:color="FFFFFF" w:fill="FFFFFF"/>
            <w:vAlign w:val="center"/>
          </w:tcPr>
          <w:p w:rsidR="004A0E91" w:rsidRPr="00D82C2E" w:rsidRDefault="00082813" w:rsidP="00910A1A">
            <w:pPr>
              <w:ind w:left="113"/>
              <w:jc w:val="center"/>
              <w:rPr>
                <w:rFonts w:asciiTheme="minorHAnsi" w:hAnsiTheme="minorHAnsi" w:cstheme="minorHAnsi"/>
                <w:sz w:val="20"/>
                <w:szCs w:val="20"/>
              </w:rPr>
            </w:pPr>
            <w:r w:rsidRPr="00D82C2E">
              <w:rPr>
                <w:rFonts w:asciiTheme="minorHAnsi" w:hAnsiTheme="minorHAnsi" w:cstheme="minorHAnsi"/>
                <w:sz w:val="20"/>
                <w:szCs w:val="20"/>
                <w:shd w:val="clear" w:color="auto" w:fill="FFFFFF"/>
              </w:rPr>
              <w:t>EMPAGLIFLOZINA</w:t>
            </w:r>
          </w:p>
        </w:tc>
        <w:tc>
          <w:tcPr>
            <w:tcW w:w="567" w:type="dxa"/>
            <w:shd w:val="solid" w:color="FFFFFF" w:fill="FFFFFF"/>
            <w:vAlign w:val="center"/>
          </w:tcPr>
          <w:p w:rsidR="004A0E91" w:rsidRPr="00D82C2E" w:rsidRDefault="004A0E91" w:rsidP="00910A1A">
            <w:pPr>
              <w:ind w:left="254"/>
              <w:rPr>
                <w:rFonts w:asciiTheme="minorHAnsi" w:hAnsiTheme="minorHAnsi" w:cs="Courier New"/>
                <w:sz w:val="20"/>
                <w:szCs w:val="20"/>
              </w:rPr>
            </w:pPr>
          </w:p>
        </w:tc>
        <w:tc>
          <w:tcPr>
            <w:tcW w:w="850" w:type="dxa"/>
            <w:shd w:val="solid" w:color="FFFFFF" w:fill="FFFFFF"/>
            <w:vAlign w:val="center"/>
          </w:tcPr>
          <w:p w:rsidR="004A0E91" w:rsidRPr="00D82C2E" w:rsidRDefault="004A0E91" w:rsidP="00910A1A">
            <w:pPr>
              <w:ind w:left="112"/>
              <w:jc w:val="center"/>
              <w:rPr>
                <w:rFonts w:asciiTheme="minorHAnsi" w:hAnsiTheme="minorHAnsi"/>
                <w:sz w:val="20"/>
                <w:szCs w:val="20"/>
              </w:rPr>
            </w:pPr>
          </w:p>
        </w:tc>
        <w:tc>
          <w:tcPr>
            <w:tcW w:w="709" w:type="dxa"/>
            <w:shd w:val="solid" w:color="FFFFFF" w:fill="FFFFFF"/>
            <w:vAlign w:val="center"/>
          </w:tcPr>
          <w:p w:rsidR="004A0E91" w:rsidRPr="00D82C2E" w:rsidRDefault="004A0E91" w:rsidP="00910A1A">
            <w:pPr>
              <w:ind w:left="111"/>
              <w:rPr>
                <w:rFonts w:asciiTheme="minorHAnsi" w:hAnsiTheme="minorHAnsi" w:cs="Courier New"/>
                <w:sz w:val="20"/>
                <w:szCs w:val="20"/>
              </w:rPr>
            </w:pPr>
          </w:p>
        </w:tc>
        <w:tc>
          <w:tcPr>
            <w:tcW w:w="992" w:type="dxa"/>
            <w:shd w:val="solid" w:color="FFFFFF" w:fill="FFFFFF"/>
            <w:vAlign w:val="center"/>
          </w:tcPr>
          <w:p w:rsidR="004A0E91" w:rsidRPr="00D82C2E" w:rsidRDefault="004A0E91" w:rsidP="00910A1A">
            <w:pPr>
              <w:ind w:left="360"/>
              <w:rPr>
                <w:rFonts w:asciiTheme="minorHAnsi" w:hAnsiTheme="minorHAnsi" w:cs="Courier New"/>
                <w:sz w:val="20"/>
                <w:szCs w:val="20"/>
              </w:rPr>
            </w:pPr>
          </w:p>
        </w:tc>
        <w:tc>
          <w:tcPr>
            <w:tcW w:w="993" w:type="dxa"/>
            <w:shd w:val="solid" w:color="FFFFFF" w:fill="FFFFFF"/>
            <w:vAlign w:val="center"/>
          </w:tcPr>
          <w:p w:rsidR="004A0E91" w:rsidRPr="00D82C2E" w:rsidRDefault="004A0E91" w:rsidP="00910A1A">
            <w:pPr>
              <w:ind w:left="360"/>
              <w:rPr>
                <w:rFonts w:asciiTheme="minorHAnsi" w:hAnsiTheme="minorHAnsi" w:cs="Courier New"/>
                <w:sz w:val="20"/>
                <w:szCs w:val="20"/>
              </w:rPr>
            </w:pPr>
          </w:p>
        </w:tc>
      </w:tr>
      <w:tr w:rsidR="00D82C2E" w:rsidRPr="00D82C2E" w:rsidTr="00910A1A">
        <w:trPr>
          <w:trHeight w:val="353"/>
        </w:trPr>
        <w:tc>
          <w:tcPr>
            <w:tcW w:w="850" w:type="dxa"/>
            <w:shd w:val="solid" w:color="FFFFFF" w:fill="FFFFFF"/>
            <w:vAlign w:val="center"/>
          </w:tcPr>
          <w:p w:rsidR="004A0E91" w:rsidRPr="00D82C2E" w:rsidRDefault="00082813" w:rsidP="00910A1A">
            <w:pPr>
              <w:autoSpaceDE w:val="0"/>
              <w:autoSpaceDN w:val="0"/>
              <w:adjustRightInd w:val="0"/>
              <w:jc w:val="center"/>
              <w:rPr>
                <w:rFonts w:asciiTheme="minorHAnsi" w:eastAsiaTheme="minorHAnsi" w:hAnsiTheme="minorHAnsi" w:cs="Arial"/>
                <w:sz w:val="20"/>
                <w:szCs w:val="20"/>
              </w:rPr>
            </w:pPr>
            <w:r w:rsidRPr="00D82C2E">
              <w:rPr>
                <w:rFonts w:asciiTheme="minorHAnsi" w:eastAsiaTheme="minorHAnsi" w:hAnsiTheme="minorHAnsi" w:cs="Arial"/>
                <w:sz w:val="20"/>
                <w:szCs w:val="20"/>
              </w:rPr>
              <w:t>702683</w:t>
            </w:r>
          </w:p>
        </w:tc>
        <w:tc>
          <w:tcPr>
            <w:tcW w:w="2835" w:type="dxa"/>
            <w:shd w:val="solid" w:color="FFFFFF" w:fill="FFFFFF"/>
            <w:vAlign w:val="center"/>
          </w:tcPr>
          <w:p w:rsidR="004A0E91" w:rsidRPr="00D82C2E" w:rsidRDefault="00082813" w:rsidP="00082813">
            <w:pPr>
              <w:autoSpaceDE w:val="0"/>
              <w:autoSpaceDN w:val="0"/>
              <w:adjustRightInd w:val="0"/>
              <w:rPr>
                <w:rFonts w:asciiTheme="minorHAnsi" w:eastAsiaTheme="minorHAnsi" w:hAnsiTheme="minorHAnsi" w:cs="Arial"/>
                <w:sz w:val="20"/>
                <w:szCs w:val="20"/>
              </w:rPr>
            </w:pPr>
            <w:r w:rsidRPr="00D82C2E">
              <w:rPr>
                <w:rFonts w:asciiTheme="minorHAnsi" w:eastAsiaTheme="minorHAnsi" w:hAnsiTheme="minorHAnsi" w:cs="Arial"/>
                <w:sz w:val="20"/>
                <w:szCs w:val="20"/>
              </w:rPr>
              <w:t>JARDIANCE 25MG 30 COMPRIMIDOS RECUBIERTOS CON PELICULA</w:t>
            </w:r>
          </w:p>
        </w:tc>
        <w:tc>
          <w:tcPr>
            <w:tcW w:w="1843" w:type="dxa"/>
            <w:shd w:val="solid" w:color="FFFFFF" w:fill="FFFFFF"/>
            <w:vAlign w:val="center"/>
          </w:tcPr>
          <w:p w:rsidR="004A0E91" w:rsidRPr="00D82C2E" w:rsidRDefault="00082813" w:rsidP="00910A1A">
            <w:pPr>
              <w:ind w:left="113"/>
              <w:jc w:val="center"/>
              <w:rPr>
                <w:rFonts w:asciiTheme="minorHAnsi" w:hAnsiTheme="minorHAnsi" w:cstheme="minorHAnsi"/>
                <w:sz w:val="20"/>
                <w:szCs w:val="20"/>
              </w:rPr>
            </w:pPr>
            <w:r w:rsidRPr="00D82C2E">
              <w:rPr>
                <w:rFonts w:asciiTheme="minorHAnsi" w:hAnsiTheme="minorHAnsi" w:cstheme="minorHAnsi"/>
                <w:sz w:val="20"/>
                <w:szCs w:val="20"/>
                <w:shd w:val="clear" w:color="auto" w:fill="FFFFFF"/>
              </w:rPr>
              <w:t>EMPAGLIFLOZINA</w:t>
            </w:r>
          </w:p>
        </w:tc>
        <w:tc>
          <w:tcPr>
            <w:tcW w:w="567" w:type="dxa"/>
            <w:shd w:val="solid" w:color="FFFFFF" w:fill="FFFFFF"/>
            <w:vAlign w:val="center"/>
          </w:tcPr>
          <w:p w:rsidR="004A0E91" w:rsidRPr="00D82C2E" w:rsidRDefault="004A0E91" w:rsidP="00910A1A">
            <w:pPr>
              <w:ind w:left="254"/>
              <w:rPr>
                <w:rFonts w:asciiTheme="minorHAnsi" w:hAnsiTheme="minorHAnsi" w:cs="Courier New"/>
                <w:sz w:val="20"/>
                <w:szCs w:val="20"/>
              </w:rPr>
            </w:pPr>
          </w:p>
        </w:tc>
        <w:tc>
          <w:tcPr>
            <w:tcW w:w="850" w:type="dxa"/>
            <w:shd w:val="solid" w:color="FFFFFF" w:fill="FFFFFF"/>
            <w:vAlign w:val="center"/>
          </w:tcPr>
          <w:p w:rsidR="004A0E91" w:rsidRPr="00D82C2E" w:rsidRDefault="004A0E91" w:rsidP="00910A1A">
            <w:pPr>
              <w:ind w:left="112"/>
              <w:jc w:val="center"/>
              <w:rPr>
                <w:rFonts w:asciiTheme="minorHAnsi" w:hAnsiTheme="minorHAnsi"/>
                <w:sz w:val="20"/>
                <w:szCs w:val="20"/>
              </w:rPr>
            </w:pPr>
          </w:p>
        </w:tc>
        <w:tc>
          <w:tcPr>
            <w:tcW w:w="709" w:type="dxa"/>
            <w:shd w:val="solid" w:color="FFFFFF" w:fill="FFFFFF"/>
            <w:vAlign w:val="center"/>
          </w:tcPr>
          <w:p w:rsidR="004A0E91" w:rsidRPr="00D82C2E" w:rsidRDefault="004A0E91" w:rsidP="00910A1A">
            <w:pPr>
              <w:ind w:left="111"/>
              <w:rPr>
                <w:rFonts w:asciiTheme="minorHAnsi" w:hAnsiTheme="minorHAnsi" w:cs="Courier New"/>
                <w:sz w:val="20"/>
                <w:szCs w:val="20"/>
              </w:rPr>
            </w:pPr>
          </w:p>
        </w:tc>
        <w:tc>
          <w:tcPr>
            <w:tcW w:w="992" w:type="dxa"/>
            <w:shd w:val="solid" w:color="FFFFFF" w:fill="FFFFFF"/>
            <w:vAlign w:val="center"/>
          </w:tcPr>
          <w:p w:rsidR="004A0E91" w:rsidRPr="00D82C2E" w:rsidRDefault="004A0E91" w:rsidP="00910A1A">
            <w:pPr>
              <w:ind w:left="360"/>
              <w:rPr>
                <w:rFonts w:asciiTheme="minorHAnsi" w:hAnsiTheme="minorHAnsi" w:cs="Courier New"/>
                <w:sz w:val="20"/>
                <w:szCs w:val="20"/>
              </w:rPr>
            </w:pPr>
          </w:p>
        </w:tc>
        <w:tc>
          <w:tcPr>
            <w:tcW w:w="993" w:type="dxa"/>
            <w:shd w:val="solid" w:color="FFFFFF" w:fill="FFFFFF"/>
            <w:vAlign w:val="center"/>
          </w:tcPr>
          <w:p w:rsidR="004A0E91" w:rsidRPr="00D82C2E" w:rsidRDefault="004A0E91" w:rsidP="00910A1A">
            <w:pPr>
              <w:ind w:left="360"/>
              <w:rPr>
                <w:rFonts w:asciiTheme="minorHAnsi" w:hAnsiTheme="minorHAnsi" w:cs="Courier New"/>
                <w:sz w:val="20"/>
                <w:szCs w:val="20"/>
              </w:rPr>
            </w:pPr>
          </w:p>
        </w:tc>
      </w:tr>
    </w:tbl>
    <w:p w:rsidR="004A0E91" w:rsidRPr="00D82C2E" w:rsidRDefault="004A0E91" w:rsidP="004A0E91">
      <w:pPr>
        <w:autoSpaceDE w:val="0"/>
        <w:autoSpaceDN w:val="0"/>
        <w:adjustRightInd w:val="0"/>
        <w:ind w:left="426"/>
        <w:jc w:val="both"/>
        <w:rPr>
          <w:rFonts w:asciiTheme="minorHAnsi" w:eastAsiaTheme="minorHAnsi" w:hAnsiTheme="minorHAnsi" w:cs="Arial"/>
        </w:rPr>
      </w:pPr>
    </w:p>
    <w:p w:rsidR="00910A1A" w:rsidRPr="00D82C2E" w:rsidRDefault="004A0E91" w:rsidP="004A0E91">
      <w:pPr>
        <w:pStyle w:val="Prrafodelista"/>
        <w:numPr>
          <w:ilvl w:val="0"/>
          <w:numId w:val="17"/>
        </w:numPr>
        <w:autoSpaceDE w:val="0"/>
        <w:autoSpaceDN w:val="0"/>
        <w:adjustRightInd w:val="0"/>
        <w:ind w:left="1701"/>
        <w:jc w:val="both"/>
        <w:rPr>
          <w:rFonts w:asciiTheme="minorHAnsi" w:eastAsiaTheme="minorHAnsi" w:hAnsiTheme="minorHAnsi" w:cstheme="minorHAnsi"/>
        </w:rPr>
      </w:pPr>
      <w:r w:rsidRPr="00D82C2E">
        <w:rPr>
          <w:rFonts w:asciiTheme="minorHAnsi" w:eastAsiaTheme="minorHAnsi" w:hAnsiTheme="minorHAnsi" w:cstheme="minorHAnsi"/>
          <w:b/>
          <w:bCs/>
        </w:rPr>
        <w:t>Extensión de la indicación a niños a partir de 10 años de edad,</w:t>
      </w:r>
      <w:r w:rsidRPr="00D82C2E">
        <w:rPr>
          <w:rFonts w:asciiTheme="minorHAnsi" w:hAnsiTheme="minorHAnsi" w:cstheme="minorHAnsi"/>
          <w:b/>
          <w:u w:val="single"/>
        </w:rPr>
        <w:t xml:space="preserve"> </w:t>
      </w:r>
      <w:r w:rsidRPr="00D82C2E">
        <w:rPr>
          <w:rFonts w:asciiTheme="minorHAnsi" w:eastAsiaTheme="minorHAnsi" w:hAnsiTheme="minorHAnsi" w:cstheme="minorHAnsi"/>
        </w:rPr>
        <w:t>quedando la indicación completa como se recoge a continuaci</w:t>
      </w:r>
      <w:r w:rsidR="001E7CF9" w:rsidRPr="00D82C2E">
        <w:rPr>
          <w:rFonts w:asciiTheme="minorHAnsi" w:eastAsiaTheme="minorHAnsi" w:hAnsiTheme="minorHAnsi" w:cstheme="minorHAnsi"/>
        </w:rPr>
        <w:t xml:space="preserve">ón: </w:t>
      </w:r>
      <w:proofErr w:type="spellStart"/>
      <w:r w:rsidRPr="00D82C2E">
        <w:rPr>
          <w:rFonts w:asciiTheme="minorHAnsi" w:eastAsiaTheme="minorHAnsi" w:hAnsiTheme="minorHAnsi" w:cstheme="minorHAnsi"/>
        </w:rPr>
        <w:t>Jardiance</w:t>
      </w:r>
      <w:proofErr w:type="spellEnd"/>
      <w:r w:rsidRPr="00D82C2E">
        <w:rPr>
          <w:rFonts w:asciiTheme="minorHAnsi" w:eastAsiaTheme="minorHAnsi" w:hAnsiTheme="minorHAnsi" w:cstheme="minorHAnsi"/>
        </w:rPr>
        <w:t xml:space="preserve"> está indicado en adultos y niños a partir de 10 años de edad para el tratamiento de la diabetes mellitus tipo 2 </w:t>
      </w:r>
      <w:r w:rsidR="00EB2B64" w:rsidRPr="00D82C2E">
        <w:rPr>
          <w:rFonts w:asciiTheme="minorHAnsi" w:eastAsiaTheme="minorHAnsi" w:hAnsiTheme="minorHAnsi" w:cstheme="minorHAnsi"/>
        </w:rPr>
        <w:t>no suficientemente controlada asociada</w:t>
      </w:r>
      <w:r w:rsidRPr="00D82C2E">
        <w:rPr>
          <w:rFonts w:asciiTheme="minorHAnsi" w:eastAsiaTheme="minorHAnsi" w:hAnsiTheme="minorHAnsi" w:cstheme="minorHAnsi"/>
        </w:rPr>
        <w:t xml:space="preserve"> a dieta y ejercicio</w:t>
      </w:r>
    </w:p>
    <w:p w:rsidR="001E7CF9" w:rsidRPr="00D82C2E" w:rsidRDefault="004A0E91" w:rsidP="00910A1A">
      <w:pPr>
        <w:pStyle w:val="Prrafodelista"/>
        <w:numPr>
          <w:ilvl w:val="0"/>
          <w:numId w:val="17"/>
        </w:numPr>
        <w:autoSpaceDE w:val="0"/>
        <w:autoSpaceDN w:val="0"/>
        <w:adjustRightInd w:val="0"/>
        <w:jc w:val="both"/>
        <w:rPr>
          <w:rFonts w:asciiTheme="minorHAnsi" w:eastAsiaTheme="minorHAnsi" w:hAnsiTheme="minorHAnsi" w:cstheme="minorHAnsi"/>
        </w:rPr>
      </w:pPr>
      <w:r w:rsidRPr="00D82C2E">
        <w:rPr>
          <w:rFonts w:asciiTheme="minorHAnsi" w:eastAsiaTheme="minorHAnsi" w:hAnsiTheme="minorHAnsi" w:cstheme="minorHAnsi"/>
        </w:rPr>
        <w:t xml:space="preserve">en monoterapia cuando </w:t>
      </w:r>
      <w:proofErr w:type="spellStart"/>
      <w:r w:rsidRPr="00D82C2E">
        <w:rPr>
          <w:rFonts w:asciiTheme="minorHAnsi" w:eastAsiaTheme="minorHAnsi" w:hAnsiTheme="minorHAnsi" w:cstheme="minorHAnsi"/>
        </w:rPr>
        <w:t>metformina</w:t>
      </w:r>
      <w:proofErr w:type="spellEnd"/>
      <w:r w:rsidRPr="00D82C2E">
        <w:rPr>
          <w:rFonts w:asciiTheme="minorHAnsi" w:eastAsiaTheme="minorHAnsi" w:hAnsiTheme="minorHAnsi" w:cstheme="minorHAnsi"/>
        </w:rPr>
        <w:t xml:space="preserve"> no se considera apropiada debido a intolerancia </w:t>
      </w:r>
    </w:p>
    <w:p w:rsidR="004A0E91" w:rsidRPr="00D82C2E" w:rsidRDefault="004A0E91" w:rsidP="00910A1A">
      <w:pPr>
        <w:pStyle w:val="Prrafodelista"/>
        <w:numPr>
          <w:ilvl w:val="0"/>
          <w:numId w:val="17"/>
        </w:numPr>
        <w:autoSpaceDE w:val="0"/>
        <w:autoSpaceDN w:val="0"/>
        <w:adjustRightInd w:val="0"/>
        <w:jc w:val="both"/>
        <w:rPr>
          <w:rFonts w:asciiTheme="minorHAnsi" w:eastAsiaTheme="minorHAnsi" w:hAnsiTheme="minorHAnsi" w:cstheme="minorHAnsi"/>
        </w:rPr>
      </w:pPr>
      <w:r w:rsidRPr="00D82C2E">
        <w:rPr>
          <w:rFonts w:asciiTheme="minorHAnsi" w:eastAsiaTheme="minorHAnsi" w:hAnsiTheme="minorHAnsi" w:cstheme="minorHAnsi"/>
        </w:rPr>
        <w:t>añadido a otros medicamentos para el tratamiento de la diabetes.</w:t>
      </w:r>
    </w:p>
    <w:p w:rsidR="004A0E91" w:rsidRPr="00D82C2E" w:rsidRDefault="004A0E91" w:rsidP="004A0E91">
      <w:pPr>
        <w:autoSpaceDE w:val="0"/>
        <w:autoSpaceDN w:val="0"/>
        <w:adjustRightInd w:val="0"/>
        <w:jc w:val="both"/>
        <w:rPr>
          <w:rFonts w:asciiTheme="minorHAnsi" w:hAnsiTheme="minorHAnsi" w:cstheme="minorHAnsi"/>
          <w:b/>
          <w:u w:val="single"/>
        </w:rPr>
      </w:pPr>
    </w:p>
    <w:p w:rsidR="00E31A92" w:rsidRPr="00D82C2E" w:rsidRDefault="009300B7" w:rsidP="00E31A92">
      <w:pPr>
        <w:shd w:val="clear" w:color="auto" w:fill="FFFFFF" w:themeFill="background1"/>
        <w:spacing w:after="200" w:line="276" w:lineRule="auto"/>
        <w:ind w:left="709"/>
        <w:contextualSpacing/>
        <w:jc w:val="both"/>
        <w:rPr>
          <w:rFonts w:asciiTheme="minorHAnsi" w:hAnsiTheme="minorHAnsi" w:cs="Arial"/>
          <w:b/>
        </w:rPr>
      </w:pPr>
      <w:r w:rsidRPr="00D82C2E">
        <w:rPr>
          <w:rFonts w:asciiTheme="minorHAnsi" w:hAnsiTheme="minorHAnsi" w:cs="Arial"/>
          <w:b/>
          <w:u w:val="single"/>
        </w:rPr>
        <w:t>NO INCLUSIÓN DE INDICACIONES:</w:t>
      </w:r>
    </w:p>
    <w:p w:rsidR="00D17A1B" w:rsidRPr="00D82C2E" w:rsidRDefault="001A1611" w:rsidP="00D17A1B">
      <w:pPr>
        <w:pStyle w:val="Prrafodelista"/>
        <w:numPr>
          <w:ilvl w:val="0"/>
          <w:numId w:val="3"/>
        </w:numPr>
        <w:jc w:val="both"/>
        <w:rPr>
          <w:rFonts w:asciiTheme="minorHAnsi" w:eastAsia="Times New Roman" w:hAnsiTheme="minorHAnsi" w:cs="Arial"/>
          <w:b/>
          <w:u w:val="single"/>
          <w:lang w:eastAsia="es-ES"/>
        </w:rPr>
      </w:pPr>
      <w:r w:rsidRPr="00D82C2E">
        <w:rPr>
          <w:rFonts w:asciiTheme="minorHAnsi" w:eastAsia="Times New Roman" w:hAnsiTheme="minorHAnsi" w:cs="Arial"/>
          <w:b/>
          <w:u w:val="single"/>
          <w:lang w:eastAsia="es-ES"/>
        </w:rPr>
        <w:t>LYNPARZA</w:t>
      </w:r>
    </w:p>
    <w:p w:rsidR="00D17A1B" w:rsidRPr="00D82C2E" w:rsidRDefault="00D17A1B" w:rsidP="00D17A1B">
      <w:pPr>
        <w:jc w:val="both"/>
        <w:rPr>
          <w:rFonts w:asciiTheme="minorHAnsi" w:eastAsia="Times New Roman" w:hAnsiTheme="minorHAnsi" w:cs="Arial"/>
          <w:lang w:eastAsia="es-ES"/>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0"/>
        <w:gridCol w:w="2835"/>
        <w:gridCol w:w="1843"/>
        <w:gridCol w:w="567"/>
        <w:gridCol w:w="850"/>
        <w:gridCol w:w="709"/>
        <w:gridCol w:w="992"/>
        <w:gridCol w:w="993"/>
      </w:tblGrid>
      <w:tr w:rsidR="00D82C2E" w:rsidRPr="00D82C2E" w:rsidTr="007638F1">
        <w:trPr>
          <w:trHeight w:val="353"/>
        </w:trPr>
        <w:tc>
          <w:tcPr>
            <w:tcW w:w="850" w:type="dxa"/>
            <w:shd w:val="solid" w:color="D9D9D9" w:themeColor="background1" w:themeShade="D9" w:fill="FFFFFF"/>
            <w:vAlign w:val="center"/>
          </w:tcPr>
          <w:p w:rsidR="00D17A1B" w:rsidRPr="00D82C2E" w:rsidRDefault="00D17A1B" w:rsidP="007638F1">
            <w:pPr>
              <w:jc w:val="center"/>
              <w:rPr>
                <w:rFonts w:asciiTheme="minorHAnsi" w:hAnsiTheme="minorHAnsi" w:cs="Arial"/>
                <w:b/>
                <w:sz w:val="20"/>
                <w:szCs w:val="20"/>
              </w:rPr>
            </w:pPr>
            <w:r w:rsidRPr="00D82C2E">
              <w:rPr>
                <w:rFonts w:asciiTheme="minorHAnsi" w:hAnsiTheme="minorHAnsi" w:cs="Arial"/>
                <w:b/>
                <w:sz w:val="20"/>
                <w:szCs w:val="20"/>
              </w:rPr>
              <w:t>CN</w:t>
            </w:r>
          </w:p>
        </w:tc>
        <w:tc>
          <w:tcPr>
            <w:tcW w:w="2835" w:type="dxa"/>
            <w:shd w:val="solid" w:color="D9D9D9" w:themeColor="background1" w:themeShade="D9" w:fill="FFFFFF"/>
            <w:vAlign w:val="center"/>
          </w:tcPr>
          <w:p w:rsidR="00D17A1B" w:rsidRPr="00D82C2E" w:rsidRDefault="00D17A1B" w:rsidP="007638F1">
            <w:pPr>
              <w:jc w:val="center"/>
              <w:rPr>
                <w:rFonts w:asciiTheme="minorHAnsi" w:hAnsiTheme="minorHAnsi" w:cs="Arial"/>
                <w:b/>
                <w:sz w:val="20"/>
                <w:szCs w:val="20"/>
              </w:rPr>
            </w:pPr>
            <w:r w:rsidRPr="00D82C2E">
              <w:rPr>
                <w:rFonts w:asciiTheme="minorHAnsi" w:hAnsiTheme="minorHAnsi" w:cs="Arial"/>
                <w:b/>
                <w:sz w:val="20"/>
                <w:szCs w:val="20"/>
              </w:rPr>
              <w:t>NOMBRE</w:t>
            </w:r>
          </w:p>
        </w:tc>
        <w:tc>
          <w:tcPr>
            <w:tcW w:w="1843" w:type="dxa"/>
            <w:shd w:val="solid" w:color="D9D9D9" w:themeColor="background1" w:themeShade="D9" w:fill="FFFFFF"/>
            <w:vAlign w:val="center"/>
          </w:tcPr>
          <w:p w:rsidR="00D17A1B" w:rsidRPr="00D82C2E" w:rsidRDefault="00D17A1B" w:rsidP="007638F1">
            <w:pPr>
              <w:autoSpaceDE w:val="0"/>
              <w:autoSpaceDN w:val="0"/>
              <w:adjustRightInd w:val="0"/>
              <w:jc w:val="center"/>
              <w:rPr>
                <w:rFonts w:asciiTheme="minorHAnsi" w:eastAsiaTheme="minorHAnsi" w:hAnsiTheme="minorHAnsi" w:cs="Arial"/>
                <w:b/>
                <w:bCs/>
                <w:sz w:val="20"/>
                <w:szCs w:val="20"/>
              </w:rPr>
            </w:pPr>
            <w:r w:rsidRPr="00D82C2E">
              <w:rPr>
                <w:rFonts w:asciiTheme="minorHAnsi" w:eastAsiaTheme="minorHAnsi" w:hAnsiTheme="minorHAnsi" w:cs="Arial"/>
                <w:b/>
                <w:bCs/>
                <w:sz w:val="20"/>
                <w:szCs w:val="20"/>
              </w:rPr>
              <w:t>Principio activo</w:t>
            </w:r>
          </w:p>
        </w:tc>
        <w:tc>
          <w:tcPr>
            <w:tcW w:w="567" w:type="dxa"/>
            <w:shd w:val="solid" w:color="D9D9D9" w:themeColor="background1" w:themeShade="D9" w:fill="FFFFFF"/>
            <w:vAlign w:val="center"/>
          </w:tcPr>
          <w:p w:rsidR="00D17A1B" w:rsidRPr="00D82C2E" w:rsidRDefault="00D17A1B" w:rsidP="007638F1">
            <w:pPr>
              <w:autoSpaceDE w:val="0"/>
              <w:autoSpaceDN w:val="0"/>
              <w:adjustRightInd w:val="0"/>
              <w:jc w:val="center"/>
              <w:rPr>
                <w:rFonts w:asciiTheme="minorHAnsi" w:eastAsiaTheme="minorHAnsi" w:hAnsiTheme="minorHAnsi" w:cs="Arial"/>
                <w:b/>
                <w:bCs/>
                <w:sz w:val="20"/>
                <w:szCs w:val="20"/>
              </w:rPr>
            </w:pPr>
            <w:r w:rsidRPr="00D82C2E">
              <w:rPr>
                <w:rFonts w:asciiTheme="minorHAnsi" w:eastAsiaTheme="minorHAnsi" w:hAnsiTheme="minorHAnsi" w:cs="Arial"/>
                <w:b/>
                <w:bCs/>
                <w:sz w:val="20"/>
                <w:szCs w:val="20"/>
              </w:rPr>
              <w:t>DH</w:t>
            </w:r>
          </w:p>
        </w:tc>
        <w:tc>
          <w:tcPr>
            <w:tcW w:w="850" w:type="dxa"/>
            <w:shd w:val="solid" w:color="D9D9D9" w:themeColor="background1" w:themeShade="D9" w:fill="FFFFFF"/>
            <w:vAlign w:val="center"/>
          </w:tcPr>
          <w:p w:rsidR="00D17A1B" w:rsidRPr="00D82C2E" w:rsidRDefault="00D17A1B" w:rsidP="007638F1">
            <w:pPr>
              <w:autoSpaceDE w:val="0"/>
              <w:autoSpaceDN w:val="0"/>
              <w:adjustRightInd w:val="0"/>
              <w:jc w:val="center"/>
              <w:rPr>
                <w:rFonts w:asciiTheme="minorHAnsi" w:eastAsiaTheme="minorHAnsi" w:hAnsiTheme="minorHAnsi" w:cs="Arial"/>
                <w:b/>
                <w:bCs/>
                <w:sz w:val="20"/>
                <w:szCs w:val="20"/>
              </w:rPr>
            </w:pPr>
            <w:r w:rsidRPr="00D82C2E">
              <w:rPr>
                <w:rFonts w:asciiTheme="minorHAnsi" w:eastAsiaTheme="minorHAnsi" w:hAnsiTheme="minorHAnsi" w:cs="Arial"/>
                <w:b/>
                <w:bCs/>
                <w:sz w:val="20"/>
                <w:szCs w:val="20"/>
              </w:rPr>
              <w:t>UH</w:t>
            </w:r>
          </w:p>
        </w:tc>
        <w:tc>
          <w:tcPr>
            <w:tcW w:w="709" w:type="dxa"/>
            <w:shd w:val="solid" w:color="D9D9D9" w:themeColor="background1" w:themeShade="D9" w:fill="FFFFFF"/>
            <w:vAlign w:val="center"/>
          </w:tcPr>
          <w:p w:rsidR="00D17A1B" w:rsidRPr="00D82C2E" w:rsidRDefault="00D17A1B" w:rsidP="007638F1">
            <w:pPr>
              <w:autoSpaceDE w:val="0"/>
              <w:autoSpaceDN w:val="0"/>
              <w:adjustRightInd w:val="0"/>
              <w:jc w:val="center"/>
              <w:rPr>
                <w:rFonts w:asciiTheme="minorHAnsi" w:eastAsiaTheme="minorHAnsi" w:hAnsiTheme="minorHAnsi" w:cs="Arial"/>
                <w:b/>
                <w:bCs/>
                <w:sz w:val="20"/>
                <w:szCs w:val="20"/>
              </w:rPr>
            </w:pPr>
            <w:r w:rsidRPr="00D82C2E">
              <w:rPr>
                <w:rFonts w:asciiTheme="minorHAnsi" w:eastAsiaTheme="minorHAnsi" w:hAnsiTheme="minorHAnsi" w:cs="Arial"/>
                <w:b/>
                <w:bCs/>
                <w:sz w:val="20"/>
                <w:szCs w:val="20"/>
              </w:rPr>
              <w:t>SCP</w:t>
            </w:r>
          </w:p>
        </w:tc>
        <w:tc>
          <w:tcPr>
            <w:tcW w:w="992" w:type="dxa"/>
            <w:shd w:val="solid" w:color="D9D9D9" w:themeColor="background1" w:themeShade="D9" w:fill="FFFFFF"/>
            <w:vAlign w:val="center"/>
          </w:tcPr>
          <w:p w:rsidR="00D17A1B" w:rsidRPr="00D82C2E" w:rsidRDefault="00D17A1B" w:rsidP="007638F1">
            <w:pPr>
              <w:autoSpaceDE w:val="0"/>
              <w:autoSpaceDN w:val="0"/>
              <w:adjustRightInd w:val="0"/>
              <w:jc w:val="center"/>
              <w:rPr>
                <w:rFonts w:asciiTheme="minorHAnsi" w:eastAsiaTheme="minorHAnsi" w:hAnsiTheme="minorHAnsi" w:cs="Arial"/>
                <w:b/>
                <w:bCs/>
                <w:sz w:val="20"/>
                <w:szCs w:val="20"/>
              </w:rPr>
            </w:pPr>
            <w:r w:rsidRPr="00D82C2E">
              <w:rPr>
                <w:rFonts w:asciiTheme="minorHAnsi" w:eastAsiaTheme="minorHAnsi" w:hAnsiTheme="minorHAnsi" w:cs="Arial"/>
                <w:b/>
                <w:bCs/>
                <w:sz w:val="20"/>
                <w:szCs w:val="20"/>
              </w:rPr>
              <w:t>Biosimilar</w:t>
            </w:r>
          </w:p>
        </w:tc>
        <w:tc>
          <w:tcPr>
            <w:tcW w:w="993" w:type="dxa"/>
            <w:shd w:val="solid" w:color="D9D9D9" w:themeColor="background1" w:themeShade="D9" w:fill="FFFFFF"/>
            <w:vAlign w:val="center"/>
          </w:tcPr>
          <w:p w:rsidR="00D17A1B" w:rsidRPr="00D82C2E" w:rsidRDefault="00D17A1B" w:rsidP="007638F1">
            <w:pPr>
              <w:autoSpaceDE w:val="0"/>
              <w:autoSpaceDN w:val="0"/>
              <w:adjustRightInd w:val="0"/>
              <w:jc w:val="center"/>
              <w:rPr>
                <w:rFonts w:asciiTheme="minorHAnsi" w:eastAsiaTheme="minorHAnsi" w:hAnsiTheme="minorHAnsi" w:cs="Arial"/>
                <w:b/>
                <w:bCs/>
                <w:sz w:val="20"/>
                <w:szCs w:val="20"/>
              </w:rPr>
            </w:pPr>
            <w:r w:rsidRPr="00D82C2E">
              <w:rPr>
                <w:rFonts w:asciiTheme="minorHAnsi" w:eastAsiaTheme="minorHAnsi" w:hAnsiTheme="minorHAnsi" w:cs="Arial"/>
                <w:b/>
                <w:bCs/>
                <w:sz w:val="20"/>
                <w:szCs w:val="20"/>
              </w:rPr>
              <w:t>Huérfano</w:t>
            </w:r>
          </w:p>
        </w:tc>
      </w:tr>
      <w:tr w:rsidR="00D82C2E" w:rsidRPr="00D82C2E" w:rsidTr="007638F1">
        <w:trPr>
          <w:trHeight w:val="353"/>
        </w:trPr>
        <w:tc>
          <w:tcPr>
            <w:tcW w:w="850" w:type="dxa"/>
            <w:shd w:val="solid" w:color="FFFFFF" w:fill="FFFFFF"/>
            <w:vAlign w:val="center"/>
          </w:tcPr>
          <w:p w:rsidR="00D17A1B" w:rsidRPr="00D82C2E" w:rsidRDefault="001A1611" w:rsidP="007638F1">
            <w:pPr>
              <w:autoSpaceDE w:val="0"/>
              <w:autoSpaceDN w:val="0"/>
              <w:adjustRightInd w:val="0"/>
              <w:jc w:val="center"/>
              <w:rPr>
                <w:rFonts w:asciiTheme="minorHAnsi" w:eastAsiaTheme="minorHAnsi" w:hAnsiTheme="minorHAnsi" w:cs="Arial"/>
                <w:sz w:val="20"/>
                <w:szCs w:val="20"/>
              </w:rPr>
            </w:pPr>
            <w:r w:rsidRPr="00D82C2E">
              <w:rPr>
                <w:rFonts w:asciiTheme="minorHAnsi" w:eastAsiaTheme="minorHAnsi" w:hAnsiTheme="minorHAnsi" w:cs="Arial"/>
                <w:sz w:val="20"/>
                <w:szCs w:val="20"/>
              </w:rPr>
              <w:t>721826</w:t>
            </w:r>
          </w:p>
        </w:tc>
        <w:tc>
          <w:tcPr>
            <w:tcW w:w="2835" w:type="dxa"/>
            <w:shd w:val="solid" w:color="FFFFFF" w:fill="FFFFFF"/>
            <w:vAlign w:val="center"/>
          </w:tcPr>
          <w:p w:rsidR="00D17A1B" w:rsidRPr="00D82C2E" w:rsidRDefault="001A1611" w:rsidP="007638F1">
            <w:pPr>
              <w:autoSpaceDE w:val="0"/>
              <w:autoSpaceDN w:val="0"/>
              <w:adjustRightInd w:val="0"/>
              <w:rPr>
                <w:rFonts w:asciiTheme="minorHAnsi" w:eastAsiaTheme="minorHAnsi" w:hAnsiTheme="minorHAnsi" w:cs="Arial"/>
                <w:sz w:val="20"/>
                <w:szCs w:val="20"/>
              </w:rPr>
            </w:pPr>
            <w:r w:rsidRPr="00D82C2E">
              <w:rPr>
                <w:rFonts w:asciiTheme="minorHAnsi" w:eastAsiaTheme="minorHAnsi" w:hAnsiTheme="minorHAnsi" w:cs="Arial"/>
                <w:sz w:val="20"/>
                <w:szCs w:val="20"/>
              </w:rPr>
              <w:t>LYNPARZA 100MG 56 (7 X 8) COMPRIMIDOS RECUBIERTOS CON PELICULA</w:t>
            </w:r>
          </w:p>
        </w:tc>
        <w:tc>
          <w:tcPr>
            <w:tcW w:w="1843" w:type="dxa"/>
            <w:shd w:val="solid" w:color="FFFFFF" w:fill="FFFFFF"/>
            <w:vAlign w:val="center"/>
          </w:tcPr>
          <w:p w:rsidR="00D17A1B" w:rsidRPr="00D82C2E" w:rsidRDefault="001A1611" w:rsidP="007638F1">
            <w:pPr>
              <w:ind w:left="113"/>
              <w:jc w:val="center"/>
              <w:rPr>
                <w:rFonts w:asciiTheme="minorHAnsi" w:hAnsiTheme="minorHAnsi" w:cs="Courier New"/>
                <w:sz w:val="20"/>
                <w:szCs w:val="20"/>
              </w:rPr>
            </w:pPr>
            <w:r w:rsidRPr="00D82C2E">
              <w:rPr>
                <w:rFonts w:asciiTheme="minorHAnsi" w:hAnsiTheme="minorHAnsi" w:cs="Courier New"/>
                <w:sz w:val="20"/>
                <w:szCs w:val="20"/>
              </w:rPr>
              <w:t>OLAPARIB</w:t>
            </w:r>
          </w:p>
        </w:tc>
        <w:tc>
          <w:tcPr>
            <w:tcW w:w="567" w:type="dxa"/>
            <w:shd w:val="solid" w:color="FFFFFF" w:fill="FFFFFF"/>
            <w:vAlign w:val="center"/>
          </w:tcPr>
          <w:p w:rsidR="00D17A1B" w:rsidRPr="00D82C2E" w:rsidRDefault="001A1611" w:rsidP="007638F1">
            <w:pPr>
              <w:ind w:left="254"/>
              <w:rPr>
                <w:rFonts w:asciiTheme="minorHAnsi" w:hAnsiTheme="minorHAnsi" w:cs="Courier New"/>
                <w:sz w:val="20"/>
                <w:szCs w:val="20"/>
              </w:rPr>
            </w:pPr>
            <w:r w:rsidRPr="00D82C2E">
              <w:rPr>
                <w:rFonts w:asciiTheme="minorHAnsi" w:hAnsiTheme="minorHAnsi" w:cs="Courier New"/>
                <w:sz w:val="20"/>
                <w:szCs w:val="20"/>
              </w:rPr>
              <w:t>√</w:t>
            </w:r>
          </w:p>
        </w:tc>
        <w:tc>
          <w:tcPr>
            <w:tcW w:w="850" w:type="dxa"/>
            <w:shd w:val="solid" w:color="FFFFFF" w:fill="FFFFFF"/>
            <w:vAlign w:val="center"/>
          </w:tcPr>
          <w:p w:rsidR="00D17A1B" w:rsidRPr="00D82C2E" w:rsidRDefault="00D17A1B" w:rsidP="007638F1">
            <w:pPr>
              <w:ind w:left="112"/>
              <w:jc w:val="center"/>
              <w:rPr>
                <w:rFonts w:asciiTheme="minorHAnsi" w:hAnsiTheme="minorHAnsi"/>
                <w:sz w:val="20"/>
                <w:szCs w:val="20"/>
              </w:rPr>
            </w:pPr>
          </w:p>
        </w:tc>
        <w:tc>
          <w:tcPr>
            <w:tcW w:w="709" w:type="dxa"/>
            <w:shd w:val="solid" w:color="FFFFFF" w:fill="FFFFFF"/>
            <w:vAlign w:val="center"/>
          </w:tcPr>
          <w:p w:rsidR="00D17A1B" w:rsidRPr="00D82C2E" w:rsidRDefault="001A1611" w:rsidP="007638F1">
            <w:pPr>
              <w:ind w:left="111"/>
              <w:rPr>
                <w:rFonts w:asciiTheme="minorHAnsi" w:hAnsiTheme="minorHAnsi" w:cs="Courier New"/>
                <w:sz w:val="20"/>
                <w:szCs w:val="20"/>
              </w:rPr>
            </w:pPr>
            <w:r w:rsidRPr="00D82C2E">
              <w:rPr>
                <w:rFonts w:asciiTheme="minorHAnsi" w:hAnsiTheme="minorHAnsi" w:cs="Courier New"/>
                <w:sz w:val="20"/>
                <w:szCs w:val="20"/>
              </w:rPr>
              <w:t>√</w:t>
            </w:r>
          </w:p>
        </w:tc>
        <w:tc>
          <w:tcPr>
            <w:tcW w:w="992" w:type="dxa"/>
            <w:shd w:val="solid" w:color="FFFFFF" w:fill="FFFFFF"/>
            <w:vAlign w:val="center"/>
          </w:tcPr>
          <w:p w:rsidR="00D17A1B" w:rsidRPr="00D82C2E" w:rsidRDefault="00D17A1B" w:rsidP="007638F1">
            <w:pPr>
              <w:ind w:left="360"/>
              <w:rPr>
                <w:rFonts w:asciiTheme="minorHAnsi" w:hAnsiTheme="minorHAnsi" w:cs="Courier New"/>
                <w:sz w:val="20"/>
                <w:szCs w:val="20"/>
              </w:rPr>
            </w:pPr>
          </w:p>
        </w:tc>
        <w:tc>
          <w:tcPr>
            <w:tcW w:w="993" w:type="dxa"/>
            <w:shd w:val="solid" w:color="FFFFFF" w:fill="FFFFFF"/>
            <w:vAlign w:val="center"/>
          </w:tcPr>
          <w:p w:rsidR="00D17A1B" w:rsidRPr="00D82C2E" w:rsidRDefault="00D17A1B" w:rsidP="007638F1">
            <w:pPr>
              <w:ind w:left="360"/>
              <w:rPr>
                <w:rFonts w:asciiTheme="minorHAnsi" w:hAnsiTheme="minorHAnsi" w:cs="Courier New"/>
                <w:sz w:val="20"/>
                <w:szCs w:val="20"/>
              </w:rPr>
            </w:pPr>
          </w:p>
        </w:tc>
      </w:tr>
      <w:tr w:rsidR="00D82C2E" w:rsidRPr="00D82C2E" w:rsidTr="007638F1">
        <w:trPr>
          <w:trHeight w:val="353"/>
        </w:trPr>
        <w:tc>
          <w:tcPr>
            <w:tcW w:w="850" w:type="dxa"/>
            <w:shd w:val="solid" w:color="FFFFFF" w:fill="FFFFFF"/>
            <w:vAlign w:val="center"/>
          </w:tcPr>
          <w:p w:rsidR="001A1611" w:rsidRPr="00D82C2E" w:rsidRDefault="001A1611" w:rsidP="001A1611">
            <w:pPr>
              <w:autoSpaceDE w:val="0"/>
              <w:autoSpaceDN w:val="0"/>
              <w:adjustRightInd w:val="0"/>
              <w:jc w:val="center"/>
              <w:rPr>
                <w:rFonts w:asciiTheme="minorHAnsi" w:eastAsiaTheme="minorHAnsi" w:hAnsiTheme="minorHAnsi" w:cs="Arial"/>
                <w:sz w:val="20"/>
                <w:szCs w:val="20"/>
              </w:rPr>
            </w:pPr>
            <w:r w:rsidRPr="00D82C2E">
              <w:rPr>
                <w:rFonts w:asciiTheme="minorHAnsi" w:eastAsiaTheme="minorHAnsi" w:hAnsiTheme="minorHAnsi" w:cs="Arial"/>
                <w:sz w:val="20"/>
                <w:szCs w:val="20"/>
              </w:rPr>
              <w:t>721827</w:t>
            </w:r>
          </w:p>
        </w:tc>
        <w:tc>
          <w:tcPr>
            <w:tcW w:w="2835" w:type="dxa"/>
            <w:shd w:val="solid" w:color="FFFFFF" w:fill="FFFFFF"/>
            <w:vAlign w:val="center"/>
          </w:tcPr>
          <w:p w:rsidR="001A1611" w:rsidRPr="00D82C2E" w:rsidRDefault="001A1611" w:rsidP="001A1611">
            <w:pPr>
              <w:autoSpaceDE w:val="0"/>
              <w:autoSpaceDN w:val="0"/>
              <w:adjustRightInd w:val="0"/>
              <w:rPr>
                <w:rFonts w:asciiTheme="minorHAnsi" w:eastAsiaTheme="minorHAnsi" w:hAnsiTheme="minorHAnsi" w:cs="Arial"/>
                <w:sz w:val="20"/>
                <w:szCs w:val="20"/>
              </w:rPr>
            </w:pPr>
            <w:r w:rsidRPr="00D82C2E">
              <w:rPr>
                <w:rFonts w:asciiTheme="minorHAnsi" w:eastAsiaTheme="minorHAnsi" w:hAnsiTheme="minorHAnsi" w:cs="Arial"/>
                <w:sz w:val="20"/>
                <w:szCs w:val="20"/>
              </w:rPr>
              <w:t>LYNPARZA 150MG 56 (7 X 8) COMPRIMIDOS RECUBIERTOS CON PELICULA</w:t>
            </w:r>
          </w:p>
        </w:tc>
        <w:tc>
          <w:tcPr>
            <w:tcW w:w="1843" w:type="dxa"/>
            <w:shd w:val="solid" w:color="FFFFFF" w:fill="FFFFFF"/>
            <w:vAlign w:val="center"/>
          </w:tcPr>
          <w:p w:rsidR="001A1611" w:rsidRPr="00D82C2E" w:rsidRDefault="001A1611" w:rsidP="001A1611">
            <w:pPr>
              <w:ind w:left="113"/>
              <w:jc w:val="center"/>
              <w:rPr>
                <w:rFonts w:asciiTheme="minorHAnsi" w:hAnsiTheme="minorHAnsi" w:cs="Courier New"/>
                <w:sz w:val="20"/>
                <w:szCs w:val="20"/>
              </w:rPr>
            </w:pPr>
            <w:r w:rsidRPr="00D82C2E">
              <w:rPr>
                <w:rFonts w:asciiTheme="minorHAnsi" w:hAnsiTheme="minorHAnsi" w:cs="Courier New"/>
                <w:sz w:val="20"/>
                <w:szCs w:val="20"/>
              </w:rPr>
              <w:t>OLAPARIB</w:t>
            </w:r>
          </w:p>
        </w:tc>
        <w:tc>
          <w:tcPr>
            <w:tcW w:w="567" w:type="dxa"/>
            <w:shd w:val="solid" w:color="FFFFFF" w:fill="FFFFFF"/>
            <w:vAlign w:val="center"/>
          </w:tcPr>
          <w:p w:rsidR="001A1611" w:rsidRPr="00D82C2E" w:rsidRDefault="001A1611" w:rsidP="001A1611">
            <w:pPr>
              <w:ind w:left="254"/>
              <w:rPr>
                <w:rFonts w:asciiTheme="minorHAnsi" w:hAnsiTheme="minorHAnsi" w:cs="Courier New"/>
                <w:sz w:val="20"/>
                <w:szCs w:val="20"/>
              </w:rPr>
            </w:pPr>
            <w:r w:rsidRPr="00D82C2E">
              <w:rPr>
                <w:rFonts w:asciiTheme="minorHAnsi" w:hAnsiTheme="minorHAnsi" w:cs="Courier New"/>
                <w:sz w:val="20"/>
                <w:szCs w:val="20"/>
              </w:rPr>
              <w:t>√</w:t>
            </w:r>
          </w:p>
        </w:tc>
        <w:tc>
          <w:tcPr>
            <w:tcW w:w="850" w:type="dxa"/>
            <w:shd w:val="solid" w:color="FFFFFF" w:fill="FFFFFF"/>
            <w:vAlign w:val="center"/>
          </w:tcPr>
          <w:p w:rsidR="001A1611" w:rsidRPr="00D82C2E" w:rsidRDefault="001A1611" w:rsidP="001A1611">
            <w:pPr>
              <w:ind w:left="112"/>
              <w:jc w:val="center"/>
              <w:rPr>
                <w:rFonts w:asciiTheme="minorHAnsi" w:hAnsiTheme="minorHAnsi"/>
                <w:sz w:val="20"/>
                <w:szCs w:val="20"/>
              </w:rPr>
            </w:pPr>
          </w:p>
        </w:tc>
        <w:tc>
          <w:tcPr>
            <w:tcW w:w="709" w:type="dxa"/>
            <w:shd w:val="solid" w:color="FFFFFF" w:fill="FFFFFF"/>
            <w:vAlign w:val="center"/>
          </w:tcPr>
          <w:p w:rsidR="001A1611" w:rsidRPr="00D82C2E" w:rsidRDefault="001A1611" w:rsidP="001A1611">
            <w:pPr>
              <w:ind w:left="111"/>
              <w:rPr>
                <w:rFonts w:asciiTheme="minorHAnsi" w:hAnsiTheme="minorHAnsi" w:cs="Courier New"/>
                <w:sz w:val="20"/>
                <w:szCs w:val="20"/>
              </w:rPr>
            </w:pPr>
            <w:r w:rsidRPr="00D82C2E">
              <w:rPr>
                <w:rFonts w:asciiTheme="minorHAnsi" w:hAnsiTheme="minorHAnsi" w:cs="Courier New"/>
                <w:sz w:val="20"/>
                <w:szCs w:val="20"/>
              </w:rPr>
              <w:t>√</w:t>
            </w:r>
          </w:p>
        </w:tc>
        <w:tc>
          <w:tcPr>
            <w:tcW w:w="992" w:type="dxa"/>
            <w:shd w:val="solid" w:color="FFFFFF" w:fill="FFFFFF"/>
            <w:vAlign w:val="center"/>
          </w:tcPr>
          <w:p w:rsidR="001A1611" w:rsidRPr="00D82C2E" w:rsidRDefault="001A1611" w:rsidP="001A1611">
            <w:pPr>
              <w:ind w:left="360"/>
              <w:rPr>
                <w:rFonts w:asciiTheme="minorHAnsi" w:hAnsiTheme="minorHAnsi" w:cs="Courier New"/>
                <w:sz w:val="20"/>
                <w:szCs w:val="20"/>
              </w:rPr>
            </w:pPr>
          </w:p>
        </w:tc>
        <w:tc>
          <w:tcPr>
            <w:tcW w:w="993" w:type="dxa"/>
            <w:shd w:val="solid" w:color="FFFFFF" w:fill="FFFFFF"/>
            <w:vAlign w:val="center"/>
          </w:tcPr>
          <w:p w:rsidR="001A1611" w:rsidRPr="00D82C2E" w:rsidRDefault="001A1611" w:rsidP="001A1611">
            <w:pPr>
              <w:ind w:left="360"/>
              <w:rPr>
                <w:rFonts w:asciiTheme="minorHAnsi" w:hAnsiTheme="minorHAnsi" w:cs="Courier New"/>
                <w:sz w:val="20"/>
                <w:szCs w:val="20"/>
              </w:rPr>
            </w:pPr>
          </w:p>
        </w:tc>
      </w:tr>
    </w:tbl>
    <w:p w:rsidR="00E31A92" w:rsidRPr="00D82C2E" w:rsidRDefault="00E31A92" w:rsidP="00E31A92">
      <w:pPr>
        <w:autoSpaceDE w:val="0"/>
        <w:autoSpaceDN w:val="0"/>
        <w:adjustRightInd w:val="0"/>
        <w:ind w:left="426"/>
        <w:jc w:val="both"/>
        <w:rPr>
          <w:rFonts w:asciiTheme="minorHAnsi" w:eastAsiaTheme="minorHAnsi" w:hAnsiTheme="minorHAnsi" w:cs="Arial"/>
        </w:rPr>
      </w:pPr>
    </w:p>
    <w:p w:rsidR="00674E9F" w:rsidRPr="00D82C2E" w:rsidRDefault="00E31A92" w:rsidP="00AA0025">
      <w:pPr>
        <w:pStyle w:val="Prrafodelista"/>
        <w:numPr>
          <w:ilvl w:val="1"/>
          <w:numId w:val="8"/>
        </w:numPr>
        <w:autoSpaceDE w:val="0"/>
        <w:autoSpaceDN w:val="0"/>
        <w:adjustRightInd w:val="0"/>
        <w:ind w:left="1418"/>
        <w:jc w:val="both"/>
        <w:rPr>
          <w:rFonts w:asciiTheme="minorHAnsi" w:hAnsiTheme="minorHAnsi" w:cstheme="minorHAnsi"/>
          <w:b/>
          <w:u w:val="single"/>
        </w:rPr>
      </w:pPr>
      <w:r w:rsidRPr="00D82C2E">
        <w:rPr>
          <w:rFonts w:asciiTheme="minorHAnsi" w:hAnsiTheme="minorHAnsi" w:cs="Arial"/>
          <w:b/>
        </w:rPr>
        <w:t>No se incluye en la prestación farmacéutica del SNS la indicación:</w:t>
      </w:r>
      <w:r w:rsidRPr="00D82C2E">
        <w:rPr>
          <w:rFonts w:asciiTheme="minorHAnsi" w:eastAsiaTheme="minorHAnsi" w:hAnsiTheme="minorHAnsi" w:cs="Arial"/>
        </w:rPr>
        <w:t xml:space="preserve"> </w:t>
      </w:r>
      <w:proofErr w:type="spellStart"/>
      <w:r w:rsidR="00BD6F48" w:rsidRPr="00D82C2E">
        <w:rPr>
          <w:rFonts w:asciiTheme="minorHAnsi" w:hAnsiTheme="minorHAnsi" w:cstheme="minorHAnsi"/>
          <w:shd w:val="clear" w:color="auto" w:fill="FFFFFF"/>
        </w:rPr>
        <w:t>Lynparza</w:t>
      </w:r>
      <w:proofErr w:type="spellEnd"/>
      <w:r w:rsidR="00BD6F48" w:rsidRPr="00D82C2E">
        <w:rPr>
          <w:rFonts w:asciiTheme="minorHAnsi" w:hAnsiTheme="minorHAnsi" w:cstheme="minorHAnsi"/>
          <w:shd w:val="clear" w:color="auto" w:fill="FFFFFF"/>
        </w:rPr>
        <w:t xml:space="preserve"> está indicado en combinación con </w:t>
      </w:r>
      <w:proofErr w:type="spellStart"/>
      <w:r w:rsidR="00BD6F48" w:rsidRPr="00D82C2E">
        <w:rPr>
          <w:rFonts w:asciiTheme="minorHAnsi" w:hAnsiTheme="minorHAnsi" w:cstheme="minorHAnsi"/>
          <w:shd w:val="clear" w:color="auto" w:fill="FFFFFF"/>
        </w:rPr>
        <w:t>abiraterona</w:t>
      </w:r>
      <w:proofErr w:type="spellEnd"/>
      <w:r w:rsidR="00BD6F48" w:rsidRPr="00D82C2E">
        <w:rPr>
          <w:rFonts w:asciiTheme="minorHAnsi" w:hAnsiTheme="minorHAnsi" w:cstheme="minorHAnsi"/>
          <w:shd w:val="clear" w:color="auto" w:fill="FFFFFF"/>
        </w:rPr>
        <w:t xml:space="preserve"> y </w:t>
      </w:r>
      <w:proofErr w:type="spellStart"/>
      <w:r w:rsidR="00BD6F48" w:rsidRPr="00D82C2E">
        <w:rPr>
          <w:rFonts w:asciiTheme="minorHAnsi" w:hAnsiTheme="minorHAnsi" w:cstheme="minorHAnsi"/>
          <w:shd w:val="clear" w:color="auto" w:fill="FFFFFF"/>
        </w:rPr>
        <w:t>prednisona</w:t>
      </w:r>
      <w:proofErr w:type="spellEnd"/>
      <w:r w:rsidR="00BD6F48" w:rsidRPr="00D82C2E">
        <w:rPr>
          <w:rFonts w:asciiTheme="minorHAnsi" w:hAnsiTheme="minorHAnsi" w:cstheme="minorHAnsi"/>
          <w:shd w:val="clear" w:color="auto" w:fill="FFFFFF"/>
        </w:rPr>
        <w:t xml:space="preserve"> o </w:t>
      </w:r>
      <w:proofErr w:type="spellStart"/>
      <w:r w:rsidR="00BD6F48" w:rsidRPr="00D82C2E">
        <w:rPr>
          <w:rFonts w:asciiTheme="minorHAnsi" w:hAnsiTheme="minorHAnsi" w:cstheme="minorHAnsi"/>
          <w:shd w:val="clear" w:color="auto" w:fill="FFFFFF"/>
        </w:rPr>
        <w:t>prednisolona</w:t>
      </w:r>
      <w:proofErr w:type="spellEnd"/>
      <w:r w:rsidR="00BD6F48" w:rsidRPr="00D82C2E">
        <w:rPr>
          <w:rFonts w:asciiTheme="minorHAnsi" w:hAnsiTheme="minorHAnsi" w:cstheme="minorHAnsi"/>
          <w:shd w:val="clear" w:color="auto" w:fill="FFFFFF"/>
        </w:rPr>
        <w:t xml:space="preserve"> para el tratamiento de pacientes adultos con </w:t>
      </w:r>
      <w:proofErr w:type="spellStart"/>
      <w:r w:rsidR="00BD6F48" w:rsidRPr="00D82C2E">
        <w:rPr>
          <w:rFonts w:asciiTheme="minorHAnsi" w:hAnsiTheme="minorHAnsi" w:cstheme="minorHAnsi"/>
          <w:shd w:val="clear" w:color="auto" w:fill="FFFFFF"/>
        </w:rPr>
        <w:t>CPRCm</w:t>
      </w:r>
      <w:proofErr w:type="spellEnd"/>
      <w:r w:rsidR="00BD6F48" w:rsidRPr="00D82C2E">
        <w:rPr>
          <w:rFonts w:asciiTheme="minorHAnsi" w:hAnsiTheme="minorHAnsi" w:cstheme="minorHAnsi"/>
          <w:shd w:val="clear" w:color="auto" w:fill="FFFFFF"/>
        </w:rPr>
        <w:t xml:space="preserve"> en los que la quimioterapia no está indicada a juicio del clínico.</w:t>
      </w:r>
    </w:p>
    <w:p w:rsidR="00E2007F" w:rsidRPr="007C4160" w:rsidRDefault="00E2007F" w:rsidP="00BD6F48">
      <w:pPr>
        <w:autoSpaceDE w:val="0"/>
        <w:autoSpaceDN w:val="0"/>
        <w:adjustRightInd w:val="0"/>
        <w:ind w:left="708"/>
        <w:jc w:val="both"/>
        <w:rPr>
          <w:rFonts w:asciiTheme="minorHAnsi" w:hAnsiTheme="minorHAnsi" w:cstheme="minorHAnsi"/>
          <w:b/>
          <w:u w:val="single"/>
        </w:rPr>
      </w:pPr>
    </w:p>
    <w:p w:rsidR="00E2007F" w:rsidRPr="007C4160" w:rsidRDefault="00E2007F" w:rsidP="00E2007F">
      <w:pPr>
        <w:pStyle w:val="Prrafodelista"/>
        <w:numPr>
          <w:ilvl w:val="0"/>
          <w:numId w:val="3"/>
        </w:numPr>
        <w:jc w:val="both"/>
        <w:rPr>
          <w:rFonts w:asciiTheme="minorHAnsi" w:eastAsia="Times New Roman" w:hAnsiTheme="minorHAnsi" w:cs="Arial"/>
          <w:b/>
          <w:u w:val="single"/>
          <w:lang w:eastAsia="es-ES"/>
        </w:rPr>
      </w:pPr>
      <w:r w:rsidRPr="007C4160">
        <w:rPr>
          <w:rFonts w:asciiTheme="minorHAnsi" w:eastAsia="Times New Roman" w:hAnsiTheme="minorHAnsi" w:cs="Arial"/>
          <w:b/>
          <w:u w:val="single"/>
          <w:lang w:eastAsia="es-ES"/>
        </w:rPr>
        <w:t>POLIVY</w:t>
      </w:r>
    </w:p>
    <w:p w:rsidR="00E2007F" w:rsidRPr="007C4160" w:rsidRDefault="00E2007F" w:rsidP="00E2007F">
      <w:pPr>
        <w:jc w:val="both"/>
        <w:rPr>
          <w:rFonts w:asciiTheme="minorHAnsi" w:eastAsia="Times New Roman" w:hAnsiTheme="minorHAnsi" w:cs="Arial"/>
          <w:lang w:eastAsia="es-ES"/>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0"/>
        <w:gridCol w:w="2835"/>
        <w:gridCol w:w="1843"/>
        <w:gridCol w:w="567"/>
        <w:gridCol w:w="850"/>
        <w:gridCol w:w="709"/>
        <w:gridCol w:w="992"/>
        <w:gridCol w:w="993"/>
      </w:tblGrid>
      <w:tr w:rsidR="007C4160" w:rsidRPr="007C4160" w:rsidTr="004F0601">
        <w:trPr>
          <w:trHeight w:val="353"/>
        </w:trPr>
        <w:tc>
          <w:tcPr>
            <w:tcW w:w="850" w:type="dxa"/>
            <w:shd w:val="solid" w:color="D9D9D9" w:themeColor="background1" w:themeShade="D9" w:fill="FFFFFF"/>
            <w:vAlign w:val="center"/>
          </w:tcPr>
          <w:p w:rsidR="00E2007F" w:rsidRPr="007C4160" w:rsidRDefault="00E2007F" w:rsidP="004F0601">
            <w:pPr>
              <w:jc w:val="center"/>
              <w:rPr>
                <w:rFonts w:asciiTheme="minorHAnsi" w:hAnsiTheme="minorHAnsi" w:cs="Arial"/>
                <w:b/>
                <w:sz w:val="20"/>
                <w:szCs w:val="20"/>
              </w:rPr>
            </w:pPr>
            <w:r w:rsidRPr="007C4160">
              <w:rPr>
                <w:rFonts w:asciiTheme="minorHAnsi" w:hAnsiTheme="minorHAnsi" w:cs="Arial"/>
                <w:b/>
                <w:sz w:val="20"/>
                <w:szCs w:val="20"/>
              </w:rPr>
              <w:t>CN</w:t>
            </w:r>
          </w:p>
        </w:tc>
        <w:tc>
          <w:tcPr>
            <w:tcW w:w="2835" w:type="dxa"/>
            <w:shd w:val="solid" w:color="D9D9D9" w:themeColor="background1" w:themeShade="D9" w:fill="FFFFFF"/>
            <w:vAlign w:val="center"/>
          </w:tcPr>
          <w:p w:rsidR="00E2007F" w:rsidRPr="007C4160" w:rsidRDefault="00E2007F" w:rsidP="004F0601">
            <w:pPr>
              <w:jc w:val="center"/>
              <w:rPr>
                <w:rFonts w:asciiTheme="minorHAnsi" w:hAnsiTheme="minorHAnsi" w:cs="Arial"/>
                <w:b/>
                <w:sz w:val="20"/>
                <w:szCs w:val="20"/>
              </w:rPr>
            </w:pPr>
            <w:r w:rsidRPr="007C4160">
              <w:rPr>
                <w:rFonts w:asciiTheme="minorHAnsi" w:hAnsiTheme="minorHAnsi" w:cs="Arial"/>
                <w:b/>
                <w:sz w:val="20"/>
                <w:szCs w:val="20"/>
              </w:rPr>
              <w:t>NOMBRE</w:t>
            </w:r>
          </w:p>
        </w:tc>
        <w:tc>
          <w:tcPr>
            <w:tcW w:w="1843" w:type="dxa"/>
            <w:shd w:val="solid" w:color="D9D9D9" w:themeColor="background1" w:themeShade="D9" w:fill="FFFFFF"/>
            <w:vAlign w:val="center"/>
          </w:tcPr>
          <w:p w:rsidR="00E2007F" w:rsidRPr="007C4160" w:rsidRDefault="00E2007F" w:rsidP="004F0601">
            <w:pPr>
              <w:autoSpaceDE w:val="0"/>
              <w:autoSpaceDN w:val="0"/>
              <w:adjustRightInd w:val="0"/>
              <w:jc w:val="center"/>
              <w:rPr>
                <w:rFonts w:asciiTheme="minorHAnsi" w:eastAsiaTheme="minorHAnsi" w:hAnsiTheme="minorHAnsi" w:cs="Arial"/>
                <w:b/>
                <w:bCs/>
                <w:sz w:val="20"/>
                <w:szCs w:val="20"/>
              </w:rPr>
            </w:pPr>
            <w:r w:rsidRPr="007C4160">
              <w:rPr>
                <w:rFonts w:asciiTheme="minorHAnsi" w:eastAsiaTheme="minorHAnsi" w:hAnsiTheme="minorHAnsi" w:cs="Arial"/>
                <w:b/>
                <w:bCs/>
                <w:sz w:val="20"/>
                <w:szCs w:val="20"/>
              </w:rPr>
              <w:t>Principio activo</w:t>
            </w:r>
          </w:p>
        </w:tc>
        <w:tc>
          <w:tcPr>
            <w:tcW w:w="567" w:type="dxa"/>
            <w:shd w:val="solid" w:color="D9D9D9" w:themeColor="background1" w:themeShade="D9" w:fill="FFFFFF"/>
            <w:vAlign w:val="center"/>
          </w:tcPr>
          <w:p w:rsidR="00E2007F" w:rsidRPr="007C4160" w:rsidRDefault="00E2007F" w:rsidP="004F0601">
            <w:pPr>
              <w:autoSpaceDE w:val="0"/>
              <w:autoSpaceDN w:val="0"/>
              <w:adjustRightInd w:val="0"/>
              <w:jc w:val="center"/>
              <w:rPr>
                <w:rFonts w:asciiTheme="minorHAnsi" w:eastAsiaTheme="minorHAnsi" w:hAnsiTheme="minorHAnsi" w:cs="Arial"/>
                <w:b/>
                <w:bCs/>
                <w:sz w:val="20"/>
                <w:szCs w:val="20"/>
              </w:rPr>
            </w:pPr>
            <w:r w:rsidRPr="007C4160">
              <w:rPr>
                <w:rFonts w:asciiTheme="minorHAnsi" w:eastAsiaTheme="minorHAnsi" w:hAnsiTheme="minorHAnsi" w:cs="Arial"/>
                <w:b/>
                <w:bCs/>
                <w:sz w:val="20"/>
                <w:szCs w:val="20"/>
              </w:rPr>
              <w:t>DH</w:t>
            </w:r>
          </w:p>
        </w:tc>
        <w:tc>
          <w:tcPr>
            <w:tcW w:w="850" w:type="dxa"/>
            <w:shd w:val="solid" w:color="D9D9D9" w:themeColor="background1" w:themeShade="D9" w:fill="FFFFFF"/>
            <w:vAlign w:val="center"/>
          </w:tcPr>
          <w:p w:rsidR="00E2007F" w:rsidRPr="007C4160" w:rsidRDefault="00E2007F" w:rsidP="004F0601">
            <w:pPr>
              <w:autoSpaceDE w:val="0"/>
              <w:autoSpaceDN w:val="0"/>
              <w:adjustRightInd w:val="0"/>
              <w:jc w:val="center"/>
              <w:rPr>
                <w:rFonts w:asciiTheme="minorHAnsi" w:eastAsiaTheme="minorHAnsi" w:hAnsiTheme="minorHAnsi" w:cs="Arial"/>
                <w:b/>
                <w:bCs/>
                <w:sz w:val="20"/>
                <w:szCs w:val="20"/>
              </w:rPr>
            </w:pPr>
            <w:r w:rsidRPr="007C4160">
              <w:rPr>
                <w:rFonts w:asciiTheme="minorHAnsi" w:eastAsiaTheme="minorHAnsi" w:hAnsiTheme="minorHAnsi" w:cs="Arial"/>
                <w:b/>
                <w:bCs/>
                <w:sz w:val="20"/>
                <w:szCs w:val="20"/>
              </w:rPr>
              <w:t>UH</w:t>
            </w:r>
          </w:p>
        </w:tc>
        <w:tc>
          <w:tcPr>
            <w:tcW w:w="709" w:type="dxa"/>
            <w:shd w:val="solid" w:color="D9D9D9" w:themeColor="background1" w:themeShade="D9" w:fill="FFFFFF"/>
            <w:vAlign w:val="center"/>
          </w:tcPr>
          <w:p w:rsidR="00E2007F" w:rsidRPr="007C4160" w:rsidRDefault="00E2007F" w:rsidP="004F0601">
            <w:pPr>
              <w:autoSpaceDE w:val="0"/>
              <w:autoSpaceDN w:val="0"/>
              <w:adjustRightInd w:val="0"/>
              <w:jc w:val="center"/>
              <w:rPr>
                <w:rFonts w:asciiTheme="minorHAnsi" w:eastAsiaTheme="minorHAnsi" w:hAnsiTheme="minorHAnsi" w:cs="Arial"/>
                <w:b/>
                <w:bCs/>
                <w:sz w:val="20"/>
                <w:szCs w:val="20"/>
              </w:rPr>
            </w:pPr>
            <w:r w:rsidRPr="007C4160">
              <w:rPr>
                <w:rFonts w:asciiTheme="minorHAnsi" w:eastAsiaTheme="minorHAnsi" w:hAnsiTheme="minorHAnsi" w:cs="Arial"/>
                <w:b/>
                <w:bCs/>
                <w:sz w:val="20"/>
                <w:szCs w:val="20"/>
              </w:rPr>
              <w:t>SCP</w:t>
            </w:r>
          </w:p>
        </w:tc>
        <w:tc>
          <w:tcPr>
            <w:tcW w:w="992" w:type="dxa"/>
            <w:shd w:val="solid" w:color="D9D9D9" w:themeColor="background1" w:themeShade="D9" w:fill="FFFFFF"/>
            <w:vAlign w:val="center"/>
          </w:tcPr>
          <w:p w:rsidR="00E2007F" w:rsidRPr="007C4160" w:rsidRDefault="00E2007F" w:rsidP="004F0601">
            <w:pPr>
              <w:autoSpaceDE w:val="0"/>
              <w:autoSpaceDN w:val="0"/>
              <w:adjustRightInd w:val="0"/>
              <w:jc w:val="center"/>
              <w:rPr>
                <w:rFonts w:asciiTheme="minorHAnsi" w:eastAsiaTheme="minorHAnsi" w:hAnsiTheme="minorHAnsi" w:cs="Arial"/>
                <w:b/>
                <w:bCs/>
                <w:sz w:val="20"/>
                <w:szCs w:val="20"/>
              </w:rPr>
            </w:pPr>
            <w:r w:rsidRPr="007C4160">
              <w:rPr>
                <w:rFonts w:asciiTheme="minorHAnsi" w:eastAsiaTheme="minorHAnsi" w:hAnsiTheme="minorHAnsi" w:cs="Arial"/>
                <w:b/>
                <w:bCs/>
                <w:sz w:val="20"/>
                <w:szCs w:val="20"/>
              </w:rPr>
              <w:t>Biosimilar</w:t>
            </w:r>
          </w:p>
        </w:tc>
        <w:tc>
          <w:tcPr>
            <w:tcW w:w="993" w:type="dxa"/>
            <w:shd w:val="solid" w:color="D9D9D9" w:themeColor="background1" w:themeShade="D9" w:fill="FFFFFF"/>
            <w:vAlign w:val="center"/>
          </w:tcPr>
          <w:p w:rsidR="00E2007F" w:rsidRPr="007C4160" w:rsidRDefault="00E2007F" w:rsidP="004F0601">
            <w:pPr>
              <w:autoSpaceDE w:val="0"/>
              <w:autoSpaceDN w:val="0"/>
              <w:adjustRightInd w:val="0"/>
              <w:jc w:val="center"/>
              <w:rPr>
                <w:rFonts w:asciiTheme="minorHAnsi" w:eastAsiaTheme="minorHAnsi" w:hAnsiTheme="minorHAnsi" w:cs="Arial"/>
                <w:b/>
                <w:bCs/>
                <w:sz w:val="20"/>
                <w:szCs w:val="20"/>
              </w:rPr>
            </w:pPr>
            <w:r w:rsidRPr="007C4160">
              <w:rPr>
                <w:rFonts w:asciiTheme="minorHAnsi" w:eastAsiaTheme="minorHAnsi" w:hAnsiTheme="minorHAnsi" w:cs="Arial"/>
                <w:b/>
                <w:bCs/>
                <w:sz w:val="20"/>
                <w:szCs w:val="20"/>
              </w:rPr>
              <w:t>Huérfano</w:t>
            </w:r>
          </w:p>
        </w:tc>
      </w:tr>
      <w:tr w:rsidR="007C4160" w:rsidRPr="007C4160" w:rsidTr="00E2007F">
        <w:trPr>
          <w:trHeight w:val="353"/>
        </w:trPr>
        <w:tc>
          <w:tcPr>
            <w:tcW w:w="850" w:type="dxa"/>
            <w:shd w:val="solid" w:color="FFFFFF" w:fill="FFFFFF"/>
            <w:vAlign w:val="center"/>
          </w:tcPr>
          <w:p w:rsidR="00E2007F" w:rsidRPr="007C4160" w:rsidRDefault="00E2007F" w:rsidP="00E2007F">
            <w:pPr>
              <w:autoSpaceDE w:val="0"/>
              <w:autoSpaceDN w:val="0"/>
              <w:adjustRightInd w:val="0"/>
              <w:jc w:val="center"/>
              <w:rPr>
                <w:rFonts w:asciiTheme="minorHAnsi" w:eastAsiaTheme="minorHAnsi" w:hAnsiTheme="minorHAnsi" w:cs="Arial"/>
                <w:sz w:val="20"/>
                <w:szCs w:val="20"/>
              </w:rPr>
            </w:pPr>
            <w:r w:rsidRPr="007C4160">
              <w:rPr>
                <w:rFonts w:asciiTheme="minorHAnsi" w:eastAsiaTheme="minorHAnsi" w:hAnsiTheme="minorHAnsi" w:cs="Arial"/>
                <w:sz w:val="20"/>
                <w:szCs w:val="20"/>
              </w:rPr>
              <w:t>729638</w:t>
            </w:r>
          </w:p>
        </w:tc>
        <w:tc>
          <w:tcPr>
            <w:tcW w:w="2835" w:type="dxa"/>
            <w:shd w:val="solid" w:color="FFFFFF" w:fill="FFFFFF"/>
            <w:vAlign w:val="center"/>
          </w:tcPr>
          <w:p w:rsidR="00E2007F" w:rsidRPr="007C4160" w:rsidRDefault="00E2007F" w:rsidP="00E2007F">
            <w:pPr>
              <w:autoSpaceDE w:val="0"/>
              <w:autoSpaceDN w:val="0"/>
              <w:adjustRightInd w:val="0"/>
              <w:rPr>
                <w:rFonts w:asciiTheme="minorHAnsi" w:eastAsiaTheme="minorHAnsi" w:hAnsiTheme="minorHAnsi" w:cs="Arial"/>
                <w:sz w:val="20"/>
                <w:szCs w:val="20"/>
              </w:rPr>
            </w:pPr>
            <w:r w:rsidRPr="007C4160">
              <w:rPr>
                <w:rFonts w:asciiTheme="minorHAnsi" w:eastAsiaTheme="minorHAnsi" w:hAnsiTheme="minorHAnsi" w:cs="Arial"/>
                <w:sz w:val="20"/>
                <w:szCs w:val="20"/>
              </w:rPr>
              <w:t>POLIVY 30MG 1 VIAL POLVO PARA CONCENTRADO PARA SOLUCION PARA PERFUSION</w:t>
            </w:r>
          </w:p>
        </w:tc>
        <w:tc>
          <w:tcPr>
            <w:tcW w:w="1843" w:type="dxa"/>
            <w:shd w:val="solid" w:color="FFFFFF" w:fill="FFFFFF"/>
            <w:vAlign w:val="center"/>
          </w:tcPr>
          <w:p w:rsidR="00E2007F" w:rsidRPr="007C4160" w:rsidRDefault="00E2007F" w:rsidP="00E2007F">
            <w:pPr>
              <w:ind w:left="113"/>
              <w:jc w:val="center"/>
              <w:rPr>
                <w:rFonts w:asciiTheme="minorHAnsi" w:hAnsiTheme="minorHAnsi" w:cstheme="minorHAnsi"/>
                <w:sz w:val="20"/>
                <w:szCs w:val="20"/>
              </w:rPr>
            </w:pPr>
            <w:r w:rsidRPr="007C4160">
              <w:rPr>
                <w:rFonts w:asciiTheme="minorHAnsi" w:hAnsiTheme="minorHAnsi" w:cstheme="minorHAnsi"/>
                <w:sz w:val="20"/>
                <w:szCs w:val="20"/>
                <w:shd w:val="clear" w:color="auto" w:fill="FFFFFF"/>
              </w:rPr>
              <w:t> POLATUZUMAB VEDOTINA</w:t>
            </w:r>
          </w:p>
        </w:tc>
        <w:tc>
          <w:tcPr>
            <w:tcW w:w="567" w:type="dxa"/>
            <w:shd w:val="solid" w:color="FFFFFF" w:fill="FFFFFF"/>
            <w:vAlign w:val="center"/>
          </w:tcPr>
          <w:p w:rsidR="00E2007F" w:rsidRPr="007C4160" w:rsidRDefault="00E2007F" w:rsidP="00E2007F">
            <w:pPr>
              <w:ind w:left="254"/>
              <w:jc w:val="center"/>
              <w:rPr>
                <w:rFonts w:asciiTheme="minorHAnsi" w:hAnsiTheme="minorHAnsi" w:cs="Courier New"/>
                <w:sz w:val="20"/>
                <w:szCs w:val="20"/>
              </w:rPr>
            </w:pPr>
          </w:p>
        </w:tc>
        <w:tc>
          <w:tcPr>
            <w:tcW w:w="850" w:type="dxa"/>
            <w:shd w:val="solid" w:color="FFFFFF" w:fill="FFFFFF"/>
            <w:vAlign w:val="center"/>
          </w:tcPr>
          <w:p w:rsidR="00E2007F" w:rsidRPr="007C4160" w:rsidRDefault="00E2007F" w:rsidP="00E2007F">
            <w:pPr>
              <w:jc w:val="center"/>
            </w:pPr>
            <w:r w:rsidRPr="007C4160">
              <w:rPr>
                <w:rFonts w:asciiTheme="minorHAnsi" w:hAnsiTheme="minorHAnsi" w:cs="Courier New"/>
                <w:sz w:val="20"/>
                <w:szCs w:val="20"/>
              </w:rPr>
              <w:t>√</w:t>
            </w:r>
          </w:p>
        </w:tc>
        <w:tc>
          <w:tcPr>
            <w:tcW w:w="709" w:type="dxa"/>
            <w:shd w:val="solid" w:color="FFFFFF" w:fill="FFFFFF"/>
            <w:vAlign w:val="center"/>
          </w:tcPr>
          <w:p w:rsidR="00E2007F" w:rsidRPr="007C4160" w:rsidRDefault="00E2007F" w:rsidP="00E2007F">
            <w:pPr>
              <w:ind w:left="111"/>
              <w:jc w:val="center"/>
              <w:rPr>
                <w:rFonts w:asciiTheme="minorHAnsi" w:hAnsiTheme="minorHAnsi" w:cs="Courier New"/>
                <w:sz w:val="20"/>
                <w:szCs w:val="20"/>
              </w:rPr>
            </w:pPr>
          </w:p>
        </w:tc>
        <w:tc>
          <w:tcPr>
            <w:tcW w:w="992" w:type="dxa"/>
            <w:shd w:val="solid" w:color="FFFFFF" w:fill="FFFFFF"/>
            <w:vAlign w:val="center"/>
          </w:tcPr>
          <w:p w:rsidR="00E2007F" w:rsidRPr="007C4160" w:rsidRDefault="00E2007F" w:rsidP="00E2007F">
            <w:pPr>
              <w:ind w:left="360"/>
              <w:jc w:val="center"/>
              <w:rPr>
                <w:rFonts w:asciiTheme="minorHAnsi" w:hAnsiTheme="minorHAnsi" w:cs="Courier New"/>
                <w:sz w:val="20"/>
                <w:szCs w:val="20"/>
              </w:rPr>
            </w:pPr>
          </w:p>
        </w:tc>
        <w:tc>
          <w:tcPr>
            <w:tcW w:w="993" w:type="dxa"/>
            <w:shd w:val="solid" w:color="FFFFFF" w:fill="FFFFFF"/>
            <w:vAlign w:val="center"/>
          </w:tcPr>
          <w:p w:rsidR="00E2007F" w:rsidRPr="007C4160" w:rsidRDefault="00E2007F" w:rsidP="00E2007F">
            <w:pPr>
              <w:jc w:val="center"/>
            </w:pPr>
            <w:r w:rsidRPr="007C4160">
              <w:rPr>
                <w:rFonts w:asciiTheme="minorHAnsi" w:hAnsiTheme="minorHAnsi" w:cs="Courier New"/>
                <w:sz w:val="20"/>
                <w:szCs w:val="20"/>
              </w:rPr>
              <w:t>√</w:t>
            </w:r>
          </w:p>
        </w:tc>
      </w:tr>
      <w:tr w:rsidR="007C4160" w:rsidRPr="007C4160" w:rsidTr="00E2007F">
        <w:trPr>
          <w:trHeight w:val="353"/>
        </w:trPr>
        <w:tc>
          <w:tcPr>
            <w:tcW w:w="850" w:type="dxa"/>
            <w:shd w:val="solid" w:color="FFFFFF" w:fill="FFFFFF"/>
            <w:vAlign w:val="center"/>
          </w:tcPr>
          <w:p w:rsidR="00E2007F" w:rsidRPr="007C4160" w:rsidRDefault="00E2007F" w:rsidP="00E2007F">
            <w:pPr>
              <w:autoSpaceDE w:val="0"/>
              <w:autoSpaceDN w:val="0"/>
              <w:adjustRightInd w:val="0"/>
              <w:jc w:val="center"/>
              <w:rPr>
                <w:rFonts w:asciiTheme="minorHAnsi" w:eastAsiaTheme="minorHAnsi" w:hAnsiTheme="minorHAnsi" w:cs="Arial"/>
                <w:sz w:val="20"/>
                <w:szCs w:val="20"/>
              </w:rPr>
            </w:pPr>
            <w:r w:rsidRPr="007C4160">
              <w:rPr>
                <w:rFonts w:asciiTheme="minorHAnsi" w:eastAsiaTheme="minorHAnsi" w:hAnsiTheme="minorHAnsi" w:cs="Arial"/>
                <w:sz w:val="20"/>
                <w:szCs w:val="20"/>
              </w:rPr>
              <w:t>727843</w:t>
            </w:r>
          </w:p>
        </w:tc>
        <w:tc>
          <w:tcPr>
            <w:tcW w:w="2835" w:type="dxa"/>
            <w:shd w:val="solid" w:color="FFFFFF" w:fill="FFFFFF"/>
            <w:vAlign w:val="center"/>
          </w:tcPr>
          <w:p w:rsidR="00E2007F" w:rsidRPr="007C4160" w:rsidRDefault="00E2007F" w:rsidP="00E2007F">
            <w:pPr>
              <w:autoSpaceDE w:val="0"/>
              <w:autoSpaceDN w:val="0"/>
              <w:adjustRightInd w:val="0"/>
              <w:rPr>
                <w:rFonts w:asciiTheme="minorHAnsi" w:eastAsiaTheme="minorHAnsi" w:hAnsiTheme="minorHAnsi" w:cs="Arial"/>
                <w:sz w:val="20"/>
                <w:szCs w:val="20"/>
              </w:rPr>
            </w:pPr>
            <w:r w:rsidRPr="007C4160">
              <w:rPr>
                <w:rFonts w:asciiTheme="minorHAnsi" w:eastAsiaTheme="minorHAnsi" w:hAnsiTheme="minorHAnsi" w:cs="Arial"/>
                <w:sz w:val="20"/>
                <w:szCs w:val="20"/>
              </w:rPr>
              <w:t>POLIVY 140MG 1 VIAL POLVO PARA CONCENTRADO PARA SOLUCION PARA PERFUSION</w:t>
            </w:r>
          </w:p>
        </w:tc>
        <w:tc>
          <w:tcPr>
            <w:tcW w:w="1843" w:type="dxa"/>
            <w:shd w:val="solid" w:color="FFFFFF" w:fill="FFFFFF"/>
            <w:vAlign w:val="center"/>
          </w:tcPr>
          <w:p w:rsidR="00E2007F" w:rsidRPr="007C4160" w:rsidRDefault="00E2007F" w:rsidP="00E2007F">
            <w:pPr>
              <w:ind w:left="113"/>
              <w:jc w:val="center"/>
              <w:rPr>
                <w:rFonts w:asciiTheme="minorHAnsi" w:hAnsiTheme="minorHAnsi" w:cs="Courier New"/>
                <w:sz w:val="20"/>
                <w:szCs w:val="20"/>
              </w:rPr>
            </w:pPr>
            <w:r w:rsidRPr="007C4160">
              <w:rPr>
                <w:rFonts w:asciiTheme="minorHAnsi" w:hAnsiTheme="minorHAnsi" w:cstheme="minorHAnsi"/>
                <w:sz w:val="20"/>
                <w:szCs w:val="20"/>
                <w:shd w:val="clear" w:color="auto" w:fill="FFFFFF"/>
              </w:rPr>
              <w:t> POLATUZUMAB VEDOTINA</w:t>
            </w:r>
          </w:p>
        </w:tc>
        <w:tc>
          <w:tcPr>
            <w:tcW w:w="567" w:type="dxa"/>
            <w:shd w:val="solid" w:color="FFFFFF" w:fill="FFFFFF"/>
            <w:vAlign w:val="center"/>
          </w:tcPr>
          <w:p w:rsidR="00E2007F" w:rsidRPr="007C4160" w:rsidRDefault="00E2007F" w:rsidP="00E2007F">
            <w:pPr>
              <w:ind w:left="254"/>
              <w:jc w:val="center"/>
              <w:rPr>
                <w:rFonts w:asciiTheme="minorHAnsi" w:hAnsiTheme="minorHAnsi" w:cs="Courier New"/>
                <w:sz w:val="20"/>
                <w:szCs w:val="20"/>
              </w:rPr>
            </w:pPr>
          </w:p>
        </w:tc>
        <w:tc>
          <w:tcPr>
            <w:tcW w:w="850" w:type="dxa"/>
            <w:shd w:val="solid" w:color="FFFFFF" w:fill="FFFFFF"/>
            <w:vAlign w:val="center"/>
          </w:tcPr>
          <w:p w:rsidR="00E2007F" w:rsidRPr="007C4160" w:rsidRDefault="00E2007F" w:rsidP="00E2007F">
            <w:pPr>
              <w:jc w:val="center"/>
            </w:pPr>
            <w:r w:rsidRPr="007C4160">
              <w:rPr>
                <w:rFonts w:asciiTheme="minorHAnsi" w:hAnsiTheme="minorHAnsi" w:cs="Courier New"/>
                <w:sz w:val="20"/>
                <w:szCs w:val="20"/>
              </w:rPr>
              <w:t>√</w:t>
            </w:r>
          </w:p>
        </w:tc>
        <w:tc>
          <w:tcPr>
            <w:tcW w:w="709" w:type="dxa"/>
            <w:shd w:val="solid" w:color="FFFFFF" w:fill="FFFFFF"/>
            <w:vAlign w:val="center"/>
          </w:tcPr>
          <w:p w:rsidR="00E2007F" w:rsidRPr="007C4160" w:rsidRDefault="00E2007F" w:rsidP="00E2007F">
            <w:pPr>
              <w:ind w:left="111"/>
              <w:jc w:val="center"/>
              <w:rPr>
                <w:rFonts w:asciiTheme="minorHAnsi" w:hAnsiTheme="minorHAnsi" w:cs="Courier New"/>
                <w:sz w:val="20"/>
                <w:szCs w:val="20"/>
              </w:rPr>
            </w:pPr>
          </w:p>
        </w:tc>
        <w:tc>
          <w:tcPr>
            <w:tcW w:w="992" w:type="dxa"/>
            <w:shd w:val="solid" w:color="FFFFFF" w:fill="FFFFFF"/>
            <w:vAlign w:val="center"/>
          </w:tcPr>
          <w:p w:rsidR="00E2007F" w:rsidRPr="007C4160" w:rsidRDefault="00E2007F" w:rsidP="00E2007F">
            <w:pPr>
              <w:ind w:left="360"/>
              <w:jc w:val="center"/>
              <w:rPr>
                <w:rFonts w:asciiTheme="minorHAnsi" w:hAnsiTheme="minorHAnsi" w:cs="Courier New"/>
                <w:sz w:val="20"/>
                <w:szCs w:val="20"/>
              </w:rPr>
            </w:pPr>
          </w:p>
        </w:tc>
        <w:tc>
          <w:tcPr>
            <w:tcW w:w="993" w:type="dxa"/>
            <w:shd w:val="solid" w:color="FFFFFF" w:fill="FFFFFF"/>
            <w:vAlign w:val="center"/>
          </w:tcPr>
          <w:p w:rsidR="00E2007F" w:rsidRPr="007C4160" w:rsidRDefault="00E2007F" w:rsidP="00E2007F">
            <w:pPr>
              <w:jc w:val="center"/>
            </w:pPr>
            <w:r w:rsidRPr="007C4160">
              <w:rPr>
                <w:rFonts w:asciiTheme="minorHAnsi" w:hAnsiTheme="minorHAnsi" w:cs="Courier New"/>
                <w:sz w:val="20"/>
                <w:szCs w:val="20"/>
              </w:rPr>
              <w:t>√</w:t>
            </w:r>
          </w:p>
        </w:tc>
      </w:tr>
    </w:tbl>
    <w:p w:rsidR="00E2007F" w:rsidRPr="007C4160" w:rsidRDefault="00E2007F" w:rsidP="00E2007F">
      <w:pPr>
        <w:autoSpaceDE w:val="0"/>
        <w:autoSpaceDN w:val="0"/>
        <w:adjustRightInd w:val="0"/>
        <w:ind w:left="426"/>
        <w:jc w:val="both"/>
        <w:rPr>
          <w:rFonts w:asciiTheme="minorHAnsi" w:eastAsiaTheme="minorHAnsi" w:hAnsiTheme="minorHAnsi" w:cs="Arial"/>
        </w:rPr>
      </w:pPr>
    </w:p>
    <w:p w:rsidR="00E2007F" w:rsidRPr="007C4160" w:rsidRDefault="00E2007F" w:rsidP="00AA0025">
      <w:pPr>
        <w:pStyle w:val="Prrafodelista"/>
        <w:numPr>
          <w:ilvl w:val="1"/>
          <w:numId w:val="8"/>
        </w:numPr>
        <w:autoSpaceDE w:val="0"/>
        <w:autoSpaceDN w:val="0"/>
        <w:adjustRightInd w:val="0"/>
        <w:ind w:left="1418"/>
        <w:jc w:val="both"/>
        <w:rPr>
          <w:rFonts w:asciiTheme="minorHAnsi" w:hAnsiTheme="minorHAnsi" w:cstheme="minorHAnsi"/>
          <w:b/>
          <w:u w:val="single"/>
        </w:rPr>
      </w:pPr>
      <w:r w:rsidRPr="007C4160">
        <w:rPr>
          <w:rFonts w:asciiTheme="minorHAnsi" w:hAnsiTheme="minorHAnsi" w:cs="Arial"/>
          <w:b/>
        </w:rPr>
        <w:t>No se incluye en la prestación farmacéutica del SNS la indicación:</w:t>
      </w:r>
      <w:r w:rsidRPr="007C4160">
        <w:rPr>
          <w:rFonts w:asciiTheme="minorHAnsi" w:eastAsiaTheme="minorHAnsi" w:hAnsiTheme="minorHAnsi" w:cs="Arial"/>
        </w:rPr>
        <w:t xml:space="preserve"> </w:t>
      </w:r>
      <w:proofErr w:type="spellStart"/>
      <w:r w:rsidR="003D1AEC" w:rsidRPr="007C4160">
        <w:rPr>
          <w:rFonts w:asciiTheme="minorHAnsi" w:hAnsiTheme="minorHAnsi" w:cstheme="minorHAnsi"/>
          <w:shd w:val="clear" w:color="auto" w:fill="FFFFFF"/>
        </w:rPr>
        <w:t>Polivy</w:t>
      </w:r>
      <w:proofErr w:type="spellEnd"/>
      <w:r w:rsidR="003D1AEC" w:rsidRPr="007C4160">
        <w:rPr>
          <w:rFonts w:asciiTheme="minorHAnsi" w:hAnsiTheme="minorHAnsi" w:cstheme="minorHAnsi"/>
          <w:shd w:val="clear" w:color="auto" w:fill="FFFFFF"/>
        </w:rPr>
        <w:t xml:space="preserve"> en combinación con </w:t>
      </w:r>
      <w:proofErr w:type="spellStart"/>
      <w:r w:rsidR="003D1AEC" w:rsidRPr="007C4160">
        <w:rPr>
          <w:rFonts w:asciiTheme="minorHAnsi" w:hAnsiTheme="minorHAnsi" w:cstheme="minorHAnsi"/>
          <w:shd w:val="clear" w:color="auto" w:fill="FFFFFF"/>
        </w:rPr>
        <w:t>rituximab</w:t>
      </w:r>
      <w:proofErr w:type="spellEnd"/>
      <w:r w:rsidR="003D1AEC" w:rsidRPr="007C4160">
        <w:rPr>
          <w:rFonts w:asciiTheme="minorHAnsi" w:hAnsiTheme="minorHAnsi" w:cstheme="minorHAnsi"/>
          <w:shd w:val="clear" w:color="auto" w:fill="FFFFFF"/>
        </w:rPr>
        <w:t xml:space="preserve">, </w:t>
      </w:r>
      <w:proofErr w:type="spellStart"/>
      <w:r w:rsidR="003D1AEC" w:rsidRPr="007C4160">
        <w:rPr>
          <w:rFonts w:asciiTheme="minorHAnsi" w:hAnsiTheme="minorHAnsi" w:cstheme="minorHAnsi"/>
          <w:shd w:val="clear" w:color="auto" w:fill="FFFFFF"/>
        </w:rPr>
        <w:t>ciclofosfamida</w:t>
      </w:r>
      <w:proofErr w:type="spellEnd"/>
      <w:r w:rsidR="003D1AEC" w:rsidRPr="007C4160">
        <w:rPr>
          <w:rFonts w:asciiTheme="minorHAnsi" w:hAnsiTheme="minorHAnsi" w:cstheme="minorHAnsi"/>
          <w:shd w:val="clear" w:color="auto" w:fill="FFFFFF"/>
        </w:rPr>
        <w:t xml:space="preserve">, </w:t>
      </w:r>
      <w:proofErr w:type="spellStart"/>
      <w:r w:rsidR="003D1AEC" w:rsidRPr="007C4160">
        <w:rPr>
          <w:rFonts w:asciiTheme="minorHAnsi" w:hAnsiTheme="minorHAnsi" w:cstheme="minorHAnsi"/>
          <w:shd w:val="clear" w:color="auto" w:fill="FFFFFF"/>
        </w:rPr>
        <w:t>doxorubicina</w:t>
      </w:r>
      <w:proofErr w:type="spellEnd"/>
      <w:r w:rsidR="003D1AEC" w:rsidRPr="007C4160">
        <w:rPr>
          <w:rFonts w:asciiTheme="minorHAnsi" w:hAnsiTheme="minorHAnsi" w:cstheme="minorHAnsi"/>
          <w:shd w:val="clear" w:color="auto" w:fill="FFFFFF"/>
        </w:rPr>
        <w:t xml:space="preserve">, y </w:t>
      </w:r>
      <w:proofErr w:type="spellStart"/>
      <w:r w:rsidR="003D1AEC" w:rsidRPr="007C4160">
        <w:rPr>
          <w:rFonts w:asciiTheme="minorHAnsi" w:hAnsiTheme="minorHAnsi" w:cstheme="minorHAnsi"/>
          <w:shd w:val="clear" w:color="auto" w:fill="FFFFFF"/>
        </w:rPr>
        <w:t>prednisona</w:t>
      </w:r>
      <w:proofErr w:type="spellEnd"/>
      <w:r w:rsidR="003D1AEC" w:rsidRPr="007C4160">
        <w:rPr>
          <w:rFonts w:asciiTheme="minorHAnsi" w:hAnsiTheme="minorHAnsi" w:cstheme="minorHAnsi"/>
          <w:shd w:val="clear" w:color="auto" w:fill="FFFFFF"/>
        </w:rPr>
        <w:t xml:space="preserve"> (R-CHP) está indicado para el tratamiento de pacientes adultos con </w:t>
      </w:r>
      <w:proofErr w:type="spellStart"/>
      <w:r w:rsidR="003D1AEC" w:rsidRPr="007C4160">
        <w:rPr>
          <w:rFonts w:asciiTheme="minorHAnsi" w:hAnsiTheme="minorHAnsi" w:cstheme="minorHAnsi"/>
          <w:shd w:val="clear" w:color="auto" w:fill="FFFFFF"/>
        </w:rPr>
        <w:t>lifoma</w:t>
      </w:r>
      <w:proofErr w:type="spellEnd"/>
      <w:r w:rsidR="003D1AEC" w:rsidRPr="007C4160">
        <w:rPr>
          <w:rFonts w:asciiTheme="minorHAnsi" w:hAnsiTheme="minorHAnsi" w:cstheme="minorHAnsi"/>
          <w:shd w:val="clear" w:color="auto" w:fill="FFFFFF"/>
        </w:rPr>
        <w:t xml:space="preserve"> B difuso de células grandes (LBDCG) que no han recibido tratamiento previo</w:t>
      </w:r>
      <w:r w:rsidRPr="007C4160">
        <w:rPr>
          <w:rFonts w:asciiTheme="minorHAnsi" w:hAnsiTheme="minorHAnsi" w:cstheme="minorHAnsi"/>
          <w:shd w:val="clear" w:color="auto" w:fill="FFFFFF"/>
        </w:rPr>
        <w:t>.</w:t>
      </w:r>
    </w:p>
    <w:p w:rsidR="00E2007F" w:rsidRPr="007C4160" w:rsidRDefault="00E2007F" w:rsidP="00E2007F">
      <w:pPr>
        <w:autoSpaceDE w:val="0"/>
        <w:autoSpaceDN w:val="0"/>
        <w:adjustRightInd w:val="0"/>
        <w:ind w:left="708"/>
        <w:jc w:val="both"/>
        <w:rPr>
          <w:rFonts w:asciiTheme="minorHAnsi" w:hAnsiTheme="minorHAnsi" w:cstheme="minorHAnsi"/>
          <w:b/>
          <w:u w:val="single"/>
        </w:rPr>
      </w:pPr>
    </w:p>
    <w:p w:rsidR="009A6B6C" w:rsidRPr="007C4160" w:rsidRDefault="009A6B6C" w:rsidP="009A6B6C">
      <w:pPr>
        <w:pStyle w:val="Prrafodelista"/>
        <w:numPr>
          <w:ilvl w:val="0"/>
          <w:numId w:val="3"/>
        </w:numPr>
        <w:jc w:val="both"/>
        <w:rPr>
          <w:rFonts w:asciiTheme="minorHAnsi" w:eastAsia="Times New Roman" w:hAnsiTheme="minorHAnsi" w:cs="Arial"/>
          <w:b/>
          <w:u w:val="single"/>
          <w:lang w:eastAsia="es-ES"/>
        </w:rPr>
      </w:pPr>
      <w:r w:rsidRPr="007C4160">
        <w:rPr>
          <w:rFonts w:asciiTheme="minorHAnsi" w:eastAsia="Times New Roman" w:hAnsiTheme="minorHAnsi" w:cs="Arial"/>
          <w:b/>
          <w:u w:val="single"/>
          <w:lang w:eastAsia="es-ES"/>
        </w:rPr>
        <w:t>OLUMIANT</w:t>
      </w:r>
    </w:p>
    <w:p w:rsidR="009A6B6C" w:rsidRPr="007C4160" w:rsidRDefault="009A6B6C" w:rsidP="009A6B6C">
      <w:pPr>
        <w:jc w:val="both"/>
        <w:rPr>
          <w:rFonts w:asciiTheme="minorHAnsi" w:eastAsia="Times New Roman" w:hAnsiTheme="minorHAnsi" w:cs="Arial"/>
          <w:lang w:eastAsia="es-ES"/>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0"/>
        <w:gridCol w:w="2835"/>
        <w:gridCol w:w="1843"/>
        <w:gridCol w:w="567"/>
        <w:gridCol w:w="850"/>
        <w:gridCol w:w="709"/>
        <w:gridCol w:w="992"/>
        <w:gridCol w:w="993"/>
      </w:tblGrid>
      <w:tr w:rsidR="007C4160" w:rsidRPr="007C4160" w:rsidTr="00C01C3D">
        <w:trPr>
          <w:trHeight w:val="353"/>
        </w:trPr>
        <w:tc>
          <w:tcPr>
            <w:tcW w:w="850" w:type="dxa"/>
            <w:shd w:val="solid" w:color="D9D9D9" w:themeColor="background1" w:themeShade="D9" w:fill="FFFFFF"/>
            <w:vAlign w:val="center"/>
          </w:tcPr>
          <w:p w:rsidR="009A6B6C" w:rsidRPr="007C4160" w:rsidRDefault="009A6B6C" w:rsidP="00C01C3D">
            <w:pPr>
              <w:jc w:val="center"/>
              <w:rPr>
                <w:rFonts w:asciiTheme="minorHAnsi" w:hAnsiTheme="minorHAnsi" w:cs="Arial"/>
                <w:b/>
                <w:sz w:val="20"/>
                <w:szCs w:val="20"/>
              </w:rPr>
            </w:pPr>
            <w:r w:rsidRPr="007C4160">
              <w:rPr>
                <w:rFonts w:asciiTheme="minorHAnsi" w:hAnsiTheme="minorHAnsi" w:cs="Arial"/>
                <w:b/>
                <w:sz w:val="20"/>
                <w:szCs w:val="20"/>
              </w:rPr>
              <w:t>CN</w:t>
            </w:r>
          </w:p>
        </w:tc>
        <w:tc>
          <w:tcPr>
            <w:tcW w:w="2835" w:type="dxa"/>
            <w:shd w:val="solid" w:color="D9D9D9" w:themeColor="background1" w:themeShade="D9" w:fill="FFFFFF"/>
            <w:vAlign w:val="center"/>
          </w:tcPr>
          <w:p w:rsidR="009A6B6C" w:rsidRPr="007C4160" w:rsidRDefault="009A6B6C" w:rsidP="00C01C3D">
            <w:pPr>
              <w:jc w:val="center"/>
              <w:rPr>
                <w:rFonts w:asciiTheme="minorHAnsi" w:hAnsiTheme="minorHAnsi" w:cs="Arial"/>
                <w:b/>
                <w:sz w:val="20"/>
                <w:szCs w:val="20"/>
              </w:rPr>
            </w:pPr>
            <w:r w:rsidRPr="007C4160">
              <w:rPr>
                <w:rFonts w:asciiTheme="minorHAnsi" w:hAnsiTheme="minorHAnsi" w:cs="Arial"/>
                <w:b/>
                <w:sz w:val="20"/>
                <w:szCs w:val="20"/>
              </w:rPr>
              <w:t>NOMBRE</w:t>
            </w:r>
          </w:p>
        </w:tc>
        <w:tc>
          <w:tcPr>
            <w:tcW w:w="1843" w:type="dxa"/>
            <w:shd w:val="solid" w:color="D9D9D9" w:themeColor="background1" w:themeShade="D9" w:fill="FFFFFF"/>
            <w:vAlign w:val="center"/>
          </w:tcPr>
          <w:p w:rsidR="009A6B6C" w:rsidRPr="007C4160" w:rsidRDefault="009A6B6C" w:rsidP="00C01C3D">
            <w:pPr>
              <w:autoSpaceDE w:val="0"/>
              <w:autoSpaceDN w:val="0"/>
              <w:adjustRightInd w:val="0"/>
              <w:jc w:val="center"/>
              <w:rPr>
                <w:rFonts w:asciiTheme="minorHAnsi" w:eastAsiaTheme="minorHAnsi" w:hAnsiTheme="minorHAnsi" w:cs="Arial"/>
                <w:b/>
                <w:bCs/>
                <w:sz w:val="20"/>
                <w:szCs w:val="20"/>
              </w:rPr>
            </w:pPr>
            <w:r w:rsidRPr="007C4160">
              <w:rPr>
                <w:rFonts w:asciiTheme="minorHAnsi" w:eastAsiaTheme="minorHAnsi" w:hAnsiTheme="minorHAnsi" w:cs="Arial"/>
                <w:b/>
                <w:bCs/>
                <w:sz w:val="20"/>
                <w:szCs w:val="20"/>
              </w:rPr>
              <w:t>Principio activo</w:t>
            </w:r>
          </w:p>
        </w:tc>
        <w:tc>
          <w:tcPr>
            <w:tcW w:w="567" w:type="dxa"/>
            <w:shd w:val="solid" w:color="D9D9D9" w:themeColor="background1" w:themeShade="D9" w:fill="FFFFFF"/>
            <w:vAlign w:val="center"/>
          </w:tcPr>
          <w:p w:rsidR="009A6B6C" w:rsidRPr="007C4160" w:rsidRDefault="009A6B6C" w:rsidP="00C01C3D">
            <w:pPr>
              <w:autoSpaceDE w:val="0"/>
              <w:autoSpaceDN w:val="0"/>
              <w:adjustRightInd w:val="0"/>
              <w:jc w:val="center"/>
              <w:rPr>
                <w:rFonts w:asciiTheme="minorHAnsi" w:eastAsiaTheme="minorHAnsi" w:hAnsiTheme="minorHAnsi" w:cs="Arial"/>
                <w:b/>
                <w:bCs/>
                <w:sz w:val="20"/>
                <w:szCs w:val="20"/>
              </w:rPr>
            </w:pPr>
            <w:r w:rsidRPr="007C4160">
              <w:rPr>
                <w:rFonts w:asciiTheme="minorHAnsi" w:eastAsiaTheme="minorHAnsi" w:hAnsiTheme="minorHAnsi" w:cs="Arial"/>
                <w:b/>
                <w:bCs/>
                <w:sz w:val="20"/>
                <w:szCs w:val="20"/>
              </w:rPr>
              <w:t>DH</w:t>
            </w:r>
          </w:p>
        </w:tc>
        <w:tc>
          <w:tcPr>
            <w:tcW w:w="850" w:type="dxa"/>
            <w:shd w:val="solid" w:color="D9D9D9" w:themeColor="background1" w:themeShade="D9" w:fill="FFFFFF"/>
            <w:vAlign w:val="center"/>
          </w:tcPr>
          <w:p w:rsidR="009A6B6C" w:rsidRPr="007C4160" w:rsidRDefault="009A6B6C" w:rsidP="00C01C3D">
            <w:pPr>
              <w:autoSpaceDE w:val="0"/>
              <w:autoSpaceDN w:val="0"/>
              <w:adjustRightInd w:val="0"/>
              <w:jc w:val="center"/>
              <w:rPr>
                <w:rFonts w:asciiTheme="minorHAnsi" w:eastAsiaTheme="minorHAnsi" w:hAnsiTheme="minorHAnsi" w:cs="Arial"/>
                <w:b/>
                <w:bCs/>
                <w:sz w:val="20"/>
                <w:szCs w:val="20"/>
              </w:rPr>
            </w:pPr>
            <w:r w:rsidRPr="007C4160">
              <w:rPr>
                <w:rFonts w:asciiTheme="minorHAnsi" w:eastAsiaTheme="minorHAnsi" w:hAnsiTheme="minorHAnsi" w:cs="Arial"/>
                <w:b/>
                <w:bCs/>
                <w:sz w:val="20"/>
                <w:szCs w:val="20"/>
              </w:rPr>
              <w:t>UH</w:t>
            </w:r>
          </w:p>
        </w:tc>
        <w:tc>
          <w:tcPr>
            <w:tcW w:w="709" w:type="dxa"/>
            <w:shd w:val="solid" w:color="D9D9D9" w:themeColor="background1" w:themeShade="D9" w:fill="FFFFFF"/>
            <w:vAlign w:val="center"/>
          </w:tcPr>
          <w:p w:rsidR="009A6B6C" w:rsidRPr="007C4160" w:rsidRDefault="009A6B6C" w:rsidP="00C01C3D">
            <w:pPr>
              <w:autoSpaceDE w:val="0"/>
              <w:autoSpaceDN w:val="0"/>
              <w:adjustRightInd w:val="0"/>
              <w:jc w:val="center"/>
              <w:rPr>
                <w:rFonts w:asciiTheme="minorHAnsi" w:eastAsiaTheme="minorHAnsi" w:hAnsiTheme="minorHAnsi" w:cs="Arial"/>
                <w:b/>
                <w:bCs/>
                <w:sz w:val="20"/>
                <w:szCs w:val="20"/>
              </w:rPr>
            </w:pPr>
            <w:r w:rsidRPr="007C4160">
              <w:rPr>
                <w:rFonts w:asciiTheme="minorHAnsi" w:eastAsiaTheme="minorHAnsi" w:hAnsiTheme="minorHAnsi" w:cs="Arial"/>
                <w:b/>
                <w:bCs/>
                <w:sz w:val="20"/>
                <w:szCs w:val="20"/>
              </w:rPr>
              <w:t>SCP</w:t>
            </w:r>
          </w:p>
        </w:tc>
        <w:tc>
          <w:tcPr>
            <w:tcW w:w="992" w:type="dxa"/>
            <w:shd w:val="solid" w:color="D9D9D9" w:themeColor="background1" w:themeShade="D9" w:fill="FFFFFF"/>
            <w:vAlign w:val="center"/>
          </w:tcPr>
          <w:p w:rsidR="009A6B6C" w:rsidRPr="007C4160" w:rsidRDefault="009A6B6C" w:rsidP="00C01C3D">
            <w:pPr>
              <w:autoSpaceDE w:val="0"/>
              <w:autoSpaceDN w:val="0"/>
              <w:adjustRightInd w:val="0"/>
              <w:jc w:val="center"/>
              <w:rPr>
                <w:rFonts w:asciiTheme="minorHAnsi" w:eastAsiaTheme="minorHAnsi" w:hAnsiTheme="minorHAnsi" w:cs="Arial"/>
                <w:b/>
                <w:bCs/>
                <w:sz w:val="20"/>
                <w:szCs w:val="20"/>
              </w:rPr>
            </w:pPr>
            <w:r w:rsidRPr="007C4160">
              <w:rPr>
                <w:rFonts w:asciiTheme="minorHAnsi" w:eastAsiaTheme="minorHAnsi" w:hAnsiTheme="minorHAnsi" w:cs="Arial"/>
                <w:b/>
                <w:bCs/>
                <w:sz w:val="20"/>
                <w:szCs w:val="20"/>
              </w:rPr>
              <w:t>Biosimilar</w:t>
            </w:r>
          </w:p>
        </w:tc>
        <w:tc>
          <w:tcPr>
            <w:tcW w:w="993" w:type="dxa"/>
            <w:shd w:val="solid" w:color="D9D9D9" w:themeColor="background1" w:themeShade="D9" w:fill="FFFFFF"/>
            <w:vAlign w:val="center"/>
          </w:tcPr>
          <w:p w:rsidR="009A6B6C" w:rsidRPr="007C4160" w:rsidRDefault="009A6B6C" w:rsidP="00C01C3D">
            <w:pPr>
              <w:autoSpaceDE w:val="0"/>
              <w:autoSpaceDN w:val="0"/>
              <w:adjustRightInd w:val="0"/>
              <w:jc w:val="center"/>
              <w:rPr>
                <w:rFonts w:asciiTheme="minorHAnsi" w:eastAsiaTheme="minorHAnsi" w:hAnsiTheme="minorHAnsi" w:cs="Arial"/>
                <w:b/>
                <w:bCs/>
                <w:sz w:val="20"/>
                <w:szCs w:val="20"/>
              </w:rPr>
            </w:pPr>
            <w:r w:rsidRPr="007C4160">
              <w:rPr>
                <w:rFonts w:asciiTheme="minorHAnsi" w:eastAsiaTheme="minorHAnsi" w:hAnsiTheme="minorHAnsi" w:cs="Arial"/>
                <w:b/>
                <w:bCs/>
                <w:sz w:val="20"/>
                <w:szCs w:val="20"/>
              </w:rPr>
              <w:t>Huérfano</w:t>
            </w:r>
          </w:p>
        </w:tc>
      </w:tr>
      <w:tr w:rsidR="007C4160" w:rsidRPr="007C4160" w:rsidTr="009A6B6C">
        <w:trPr>
          <w:trHeight w:val="353"/>
        </w:trPr>
        <w:tc>
          <w:tcPr>
            <w:tcW w:w="850" w:type="dxa"/>
            <w:shd w:val="solid" w:color="FFFFFF" w:fill="FFFFFF"/>
            <w:vAlign w:val="center"/>
          </w:tcPr>
          <w:p w:rsidR="009A6B6C" w:rsidRPr="007C4160" w:rsidRDefault="009A6B6C" w:rsidP="009A6B6C">
            <w:pPr>
              <w:autoSpaceDE w:val="0"/>
              <w:autoSpaceDN w:val="0"/>
              <w:adjustRightInd w:val="0"/>
              <w:jc w:val="center"/>
              <w:rPr>
                <w:rFonts w:asciiTheme="minorHAnsi" w:eastAsiaTheme="minorHAnsi" w:hAnsiTheme="minorHAnsi" w:cs="Arial"/>
                <w:sz w:val="20"/>
                <w:szCs w:val="20"/>
              </w:rPr>
            </w:pPr>
            <w:r w:rsidRPr="007C4160">
              <w:rPr>
                <w:rFonts w:asciiTheme="minorHAnsi" w:eastAsiaTheme="minorHAnsi" w:hAnsiTheme="minorHAnsi" w:cs="Arial"/>
                <w:sz w:val="20"/>
                <w:szCs w:val="20"/>
              </w:rPr>
              <w:t>715262</w:t>
            </w:r>
          </w:p>
        </w:tc>
        <w:tc>
          <w:tcPr>
            <w:tcW w:w="2835" w:type="dxa"/>
            <w:shd w:val="solid" w:color="FFFFFF" w:fill="FFFFFF"/>
            <w:vAlign w:val="center"/>
          </w:tcPr>
          <w:p w:rsidR="009A6B6C" w:rsidRPr="007C4160" w:rsidRDefault="009A6B6C" w:rsidP="009A6B6C">
            <w:pPr>
              <w:autoSpaceDE w:val="0"/>
              <w:autoSpaceDN w:val="0"/>
              <w:adjustRightInd w:val="0"/>
              <w:rPr>
                <w:rFonts w:asciiTheme="minorHAnsi" w:eastAsiaTheme="minorHAnsi" w:hAnsiTheme="minorHAnsi" w:cs="Arial"/>
                <w:sz w:val="20"/>
                <w:szCs w:val="20"/>
              </w:rPr>
            </w:pPr>
            <w:r w:rsidRPr="007C4160">
              <w:rPr>
                <w:rFonts w:asciiTheme="minorHAnsi" w:eastAsiaTheme="minorHAnsi" w:hAnsiTheme="minorHAnsi" w:cs="Arial"/>
                <w:sz w:val="20"/>
                <w:szCs w:val="20"/>
              </w:rPr>
              <w:t>OLUMIANT 2MG 28 COMPRIMIDOS RECUBIERTOS CON PELICULA</w:t>
            </w:r>
          </w:p>
        </w:tc>
        <w:tc>
          <w:tcPr>
            <w:tcW w:w="1843" w:type="dxa"/>
            <w:shd w:val="solid" w:color="FFFFFF" w:fill="FFFFFF"/>
            <w:vAlign w:val="center"/>
          </w:tcPr>
          <w:p w:rsidR="009A6B6C" w:rsidRPr="007C4160" w:rsidRDefault="009A6B6C" w:rsidP="009A6B6C">
            <w:pPr>
              <w:ind w:left="113"/>
              <w:jc w:val="center"/>
              <w:rPr>
                <w:rFonts w:asciiTheme="minorHAnsi" w:hAnsiTheme="minorHAnsi" w:cstheme="minorHAnsi"/>
                <w:sz w:val="20"/>
                <w:szCs w:val="20"/>
              </w:rPr>
            </w:pPr>
            <w:r w:rsidRPr="007C4160">
              <w:rPr>
                <w:rFonts w:asciiTheme="minorHAnsi" w:hAnsiTheme="minorHAnsi" w:cstheme="minorHAnsi"/>
                <w:sz w:val="20"/>
                <w:szCs w:val="20"/>
              </w:rPr>
              <w:t>BARICITINIB</w:t>
            </w:r>
          </w:p>
        </w:tc>
        <w:tc>
          <w:tcPr>
            <w:tcW w:w="567" w:type="dxa"/>
            <w:shd w:val="solid" w:color="FFFFFF" w:fill="FFFFFF"/>
            <w:vAlign w:val="center"/>
          </w:tcPr>
          <w:p w:rsidR="009A6B6C" w:rsidRPr="007C4160" w:rsidRDefault="009A6B6C" w:rsidP="009A6B6C">
            <w:pPr>
              <w:jc w:val="center"/>
            </w:pPr>
            <w:r w:rsidRPr="007C4160">
              <w:rPr>
                <w:rFonts w:asciiTheme="minorHAnsi" w:hAnsiTheme="minorHAnsi" w:cs="Courier New"/>
                <w:sz w:val="20"/>
                <w:szCs w:val="20"/>
              </w:rPr>
              <w:t>√</w:t>
            </w:r>
          </w:p>
        </w:tc>
        <w:tc>
          <w:tcPr>
            <w:tcW w:w="850" w:type="dxa"/>
            <w:shd w:val="solid" w:color="FFFFFF" w:fill="FFFFFF"/>
            <w:vAlign w:val="center"/>
          </w:tcPr>
          <w:p w:rsidR="009A6B6C" w:rsidRPr="007C4160" w:rsidRDefault="009A6B6C" w:rsidP="009A6B6C">
            <w:pPr>
              <w:jc w:val="center"/>
            </w:pPr>
          </w:p>
        </w:tc>
        <w:tc>
          <w:tcPr>
            <w:tcW w:w="709" w:type="dxa"/>
            <w:shd w:val="solid" w:color="FFFFFF" w:fill="FFFFFF"/>
            <w:vAlign w:val="center"/>
          </w:tcPr>
          <w:p w:rsidR="009A6B6C" w:rsidRPr="007C4160" w:rsidRDefault="009A6B6C" w:rsidP="009A6B6C">
            <w:pPr>
              <w:jc w:val="center"/>
            </w:pPr>
            <w:r w:rsidRPr="007C4160">
              <w:rPr>
                <w:rFonts w:asciiTheme="minorHAnsi" w:hAnsiTheme="minorHAnsi" w:cs="Courier New"/>
                <w:sz w:val="20"/>
                <w:szCs w:val="20"/>
              </w:rPr>
              <w:t>√</w:t>
            </w:r>
          </w:p>
        </w:tc>
        <w:tc>
          <w:tcPr>
            <w:tcW w:w="992" w:type="dxa"/>
            <w:shd w:val="solid" w:color="FFFFFF" w:fill="FFFFFF"/>
            <w:vAlign w:val="center"/>
          </w:tcPr>
          <w:p w:rsidR="009A6B6C" w:rsidRPr="007C4160" w:rsidRDefault="009A6B6C" w:rsidP="009A6B6C">
            <w:pPr>
              <w:ind w:left="360"/>
              <w:jc w:val="center"/>
              <w:rPr>
                <w:rFonts w:asciiTheme="minorHAnsi" w:hAnsiTheme="minorHAnsi" w:cs="Courier New"/>
                <w:sz w:val="20"/>
                <w:szCs w:val="20"/>
              </w:rPr>
            </w:pPr>
          </w:p>
        </w:tc>
        <w:tc>
          <w:tcPr>
            <w:tcW w:w="993" w:type="dxa"/>
            <w:shd w:val="solid" w:color="FFFFFF" w:fill="FFFFFF"/>
            <w:vAlign w:val="center"/>
          </w:tcPr>
          <w:p w:rsidR="009A6B6C" w:rsidRPr="007C4160" w:rsidRDefault="009A6B6C" w:rsidP="009A6B6C">
            <w:pPr>
              <w:jc w:val="center"/>
            </w:pPr>
          </w:p>
        </w:tc>
      </w:tr>
      <w:tr w:rsidR="007C4160" w:rsidRPr="007C4160" w:rsidTr="009A6B6C">
        <w:trPr>
          <w:trHeight w:val="353"/>
        </w:trPr>
        <w:tc>
          <w:tcPr>
            <w:tcW w:w="850" w:type="dxa"/>
            <w:shd w:val="solid" w:color="FFFFFF" w:fill="FFFFFF"/>
            <w:vAlign w:val="center"/>
          </w:tcPr>
          <w:p w:rsidR="009A6B6C" w:rsidRPr="007C4160" w:rsidRDefault="009A6B6C" w:rsidP="009A6B6C">
            <w:pPr>
              <w:autoSpaceDE w:val="0"/>
              <w:autoSpaceDN w:val="0"/>
              <w:adjustRightInd w:val="0"/>
              <w:jc w:val="center"/>
              <w:rPr>
                <w:rFonts w:asciiTheme="minorHAnsi" w:eastAsiaTheme="minorHAnsi" w:hAnsiTheme="minorHAnsi" w:cs="Arial"/>
                <w:sz w:val="20"/>
                <w:szCs w:val="20"/>
              </w:rPr>
            </w:pPr>
            <w:r w:rsidRPr="007C4160">
              <w:rPr>
                <w:rFonts w:asciiTheme="minorHAnsi" w:eastAsiaTheme="minorHAnsi" w:hAnsiTheme="minorHAnsi" w:cs="Arial"/>
                <w:sz w:val="20"/>
                <w:szCs w:val="20"/>
              </w:rPr>
              <w:lastRenderedPageBreak/>
              <w:t>715264</w:t>
            </w:r>
          </w:p>
        </w:tc>
        <w:tc>
          <w:tcPr>
            <w:tcW w:w="2835" w:type="dxa"/>
            <w:shd w:val="solid" w:color="FFFFFF" w:fill="FFFFFF"/>
            <w:vAlign w:val="center"/>
          </w:tcPr>
          <w:p w:rsidR="009A6B6C" w:rsidRPr="007C4160" w:rsidRDefault="009A6B6C" w:rsidP="009A6B6C">
            <w:pPr>
              <w:autoSpaceDE w:val="0"/>
              <w:autoSpaceDN w:val="0"/>
              <w:adjustRightInd w:val="0"/>
              <w:rPr>
                <w:rFonts w:asciiTheme="minorHAnsi" w:eastAsiaTheme="minorHAnsi" w:hAnsiTheme="minorHAnsi" w:cs="Arial"/>
                <w:sz w:val="20"/>
                <w:szCs w:val="20"/>
              </w:rPr>
            </w:pPr>
            <w:r w:rsidRPr="007C4160">
              <w:rPr>
                <w:rFonts w:asciiTheme="minorHAnsi" w:eastAsiaTheme="minorHAnsi" w:hAnsiTheme="minorHAnsi" w:cs="Arial"/>
                <w:sz w:val="20"/>
                <w:szCs w:val="20"/>
              </w:rPr>
              <w:t>OLUMIANT 4MG 28 COMPRIMIDOS RECUBIERTOS CON PELICULA</w:t>
            </w:r>
          </w:p>
        </w:tc>
        <w:tc>
          <w:tcPr>
            <w:tcW w:w="1843" w:type="dxa"/>
            <w:shd w:val="solid" w:color="FFFFFF" w:fill="FFFFFF"/>
            <w:vAlign w:val="center"/>
          </w:tcPr>
          <w:p w:rsidR="009A6B6C" w:rsidRPr="007C4160" w:rsidRDefault="009A6B6C" w:rsidP="009A6B6C">
            <w:pPr>
              <w:ind w:left="113"/>
              <w:jc w:val="center"/>
              <w:rPr>
                <w:rFonts w:asciiTheme="minorHAnsi" w:hAnsiTheme="minorHAnsi" w:cs="Courier New"/>
                <w:sz w:val="20"/>
                <w:szCs w:val="20"/>
              </w:rPr>
            </w:pPr>
            <w:r w:rsidRPr="007C4160">
              <w:rPr>
                <w:rFonts w:asciiTheme="minorHAnsi" w:hAnsiTheme="minorHAnsi" w:cstheme="minorHAnsi"/>
                <w:sz w:val="20"/>
                <w:szCs w:val="20"/>
              </w:rPr>
              <w:t>BARICITINIB</w:t>
            </w:r>
          </w:p>
        </w:tc>
        <w:tc>
          <w:tcPr>
            <w:tcW w:w="567" w:type="dxa"/>
            <w:shd w:val="solid" w:color="FFFFFF" w:fill="FFFFFF"/>
            <w:vAlign w:val="center"/>
          </w:tcPr>
          <w:p w:rsidR="009A6B6C" w:rsidRPr="007C4160" w:rsidRDefault="009A6B6C" w:rsidP="009A6B6C">
            <w:pPr>
              <w:jc w:val="center"/>
            </w:pPr>
            <w:r w:rsidRPr="007C4160">
              <w:rPr>
                <w:rFonts w:asciiTheme="minorHAnsi" w:hAnsiTheme="minorHAnsi" w:cs="Courier New"/>
                <w:sz w:val="20"/>
                <w:szCs w:val="20"/>
              </w:rPr>
              <w:t>√</w:t>
            </w:r>
          </w:p>
        </w:tc>
        <w:tc>
          <w:tcPr>
            <w:tcW w:w="850" w:type="dxa"/>
            <w:shd w:val="solid" w:color="FFFFFF" w:fill="FFFFFF"/>
            <w:vAlign w:val="center"/>
          </w:tcPr>
          <w:p w:rsidR="009A6B6C" w:rsidRPr="007C4160" w:rsidRDefault="009A6B6C" w:rsidP="009A6B6C">
            <w:pPr>
              <w:jc w:val="center"/>
            </w:pPr>
          </w:p>
        </w:tc>
        <w:tc>
          <w:tcPr>
            <w:tcW w:w="709" w:type="dxa"/>
            <w:shd w:val="solid" w:color="FFFFFF" w:fill="FFFFFF"/>
            <w:vAlign w:val="center"/>
          </w:tcPr>
          <w:p w:rsidR="009A6B6C" w:rsidRPr="007C4160" w:rsidRDefault="009A6B6C" w:rsidP="009A6B6C">
            <w:pPr>
              <w:jc w:val="center"/>
            </w:pPr>
            <w:r w:rsidRPr="007C4160">
              <w:rPr>
                <w:rFonts w:asciiTheme="minorHAnsi" w:hAnsiTheme="minorHAnsi" w:cs="Courier New"/>
                <w:sz w:val="20"/>
                <w:szCs w:val="20"/>
              </w:rPr>
              <w:t>√</w:t>
            </w:r>
          </w:p>
        </w:tc>
        <w:tc>
          <w:tcPr>
            <w:tcW w:w="992" w:type="dxa"/>
            <w:shd w:val="solid" w:color="FFFFFF" w:fill="FFFFFF"/>
            <w:vAlign w:val="center"/>
          </w:tcPr>
          <w:p w:rsidR="009A6B6C" w:rsidRPr="007C4160" w:rsidRDefault="009A6B6C" w:rsidP="009A6B6C">
            <w:pPr>
              <w:ind w:left="360"/>
              <w:jc w:val="center"/>
              <w:rPr>
                <w:rFonts w:asciiTheme="minorHAnsi" w:hAnsiTheme="minorHAnsi" w:cs="Courier New"/>
                <w:sz w:val="20"/>
                <w:szCs w:val="20"/>
              </w:rPr>
            </w:pPr>
          </w:p>
        </w:tc>
        <w:tc>
          <w:tcPr>
            <w:tcW w:w="993" w:type="dxa"/>
            <w:shd w:val="solid" w:color="FFFFFF" w:fill="FFFFFF"/>
            <w:vAlign w:val="center"/>
          </w:tcPr>
          <w:p w:rsidR="009A6B6C" w:rsidRPr="007C4160" w:rsidRDefault="009A6B6C" w:rsidP="009A6B6C">
            <w:pPr>
              <w:jc w:val="center"/>
            </w:pPr>
          </w:p>
        </w:tc>
      </w:tr>
    </w:tbl>
    <w:p w:rsidR="009A6B6C" w:rsidRPr="007C4160" w:rsidRDefault="009A6B6C" w:rsidP="009A6B6C">
      <w:pPr>
        <w:autoSpaceDE w:val="0"/>
        <w:autoSpaceDN w:val="0"/>
        <w:adjustRightInd w:val="0"/>
        <w:ind w:left="426"/>
        <w:jc w:val="both"/>
        <w:rPr>
          <w:rFonts w:asciiTheme="minorHAnsi" w:eastAsiaTheme="minorHAnsi" w:hAnsiTheme="minorHAnsi" w:cs="Arial"/>
        </w:rPr>
      </w:pPr>
    </w:p>
    <w:p w:rsidR="009A6B6C" w:rsidRPr="007C4160" w:rsidRDefault="009A6B6C" w:rsidP="00AA0025">
      <w:pPr>
        <w:pStyle w:val="Prrafodelista"/>
        <w:numPr>
          <w:ilvl w:val="1"/>
          <w:numId w:val="8"/>
        </w:numPr>
        <w:autoSpaceDE w:val="0"/>
        <w:autoSpaceDN w:val="0"/>
        <w:adjustRightInd w:val="0"/>
        <w:ind w:left="1418"/>
        <w:jc w:val="both"/>
        <w:rPr>
          <w:rFonts w:asciiTheme="minorHAnsi" w:hAnsiTheme="minorHAnsi" w:cstheme="minorHAnsi"/>
          <w:b/>
          <w:u w:val="single"/>
        </w:rPr>
      </w:pPr>
      <w:r w:rsidRPr="007C4160">
        <w:rPr>
          <w:rFonts w:asciiTheme="minorHAnsi" w:hAnsiTheme="minorHAnsi" w:cs="Arial"/>
          <w:b/>
        </w:rPr>
        <w:t>No se incluyen en la prestación farmacéutica del SNS las indicaciones:</w:t>
      </w:r>
      <w:r w:rsidRPr="007C4160">
        <w:rPr>
          <w:rFonts w:asciiTheme="minorHAnsi" w:eastAsiaTheme="minorHAnsi" w:hAnsiTheme="minorHAnsi" w:cs="Arial"/>
        </w:rPr>
        <w:t xml:space="preserve"> </w:t>
      </w:r>
    </w:p>
    <w:p w:rsidR="009A6B6C" w:rsidRPr="007C4160" w:rsidRDefault="009A6B6C" w:rsidP="009A6B6C">
      <w:pPr>
        <w:pStyle w:val="Prrafodelista"/>
        <w:numPr>
          <w:ilvl w:val="1"/>
          <w:numId w:val="8"/>
        </w:numPr>
        <w:autoSpaceDE w:val="0"/>
        <w:autoSpaceDN w:val="0"/>
        <w:adjustRightInd w:val="0"/>
        <w:jc w:val="both"/>
        <w:rPr>
          <w:rFonts w:asciiTheme="minorHAnsi" w:hAnsiTheme="minorHAnsi" w:cstheme="minorHAnsi"/>
          <w:b/>
          <w:u w:val="single"/>
        </w:rPr>
      </w:pPr>
      <w:r w:rsidRPr="007C4160">
        <w:rPr>
          <w:rFonts w:asciiTheme="minorHAnsi" w:hAnsiTheme="minorHAnsi" w:cstheme="minorHAnsi"/>
          <w:shd w:val="clear" w:color="auto" w:fill="FFFFFF"/>
        </w:rPr>
        <w:t xml:space="preserve">Tratamiento de la artritis idiopática juvenil activa en pacientes a partir de 2 años de edad que hayan presentado una respuesta inadecuada o intolerancia a uno o más </w:t>
      </w:r>
      <w:proofErr w:type="spellStart"/>
      <w:r w:rsidRPr="007C4160">
        <w:rPr>
          <w:rFonts w:asciiTheme="minorHAnsi" w:hAnsiTheme="minorHAnsi" w:cstheme="minorHAnsi"/>
          <w:shd w:val="clear" w:color="auto" w:fill="FFFFFF"/>
        </w:rPr>
        <w:t>FAMEs</w:t>
      </w:r>
      <w:proofErr w:type="spellEnd"/>
      <w:r w:rsidRPr="007C4160">
        <w:rPr>
          <w:rFonts w:asciiTheme="minorHAnsi" w:hAnsiTheme="minorHAnsi" w:cstheme="minorHAnsi"/>
          <w:shd w:val="clear" w:color="auto" w:fill="FFFFFF"/>
        </w:rPr>
        <w:t xml:space="preserve"> sintéticos convencionales o biológicos previos:</w:t>
      </w:r>
    </w:p>
    <w:p w:rsidR="009A6B6C" w:rsidRPr="007C4160" w:rsidRDefault="009A6B6C" w:rsidP="009A6B6C">
      <w:pPr>
        <w:pStyle w:val="Prrafodelista"/>
        <w:numPr>
          <w:ilvl w:val="2"/>
          <w:numId w:val="8"/>
        </w:numPr>
        <w:autoSpaceDE w:val="0"/>
        <w:autoSpaceDN w:val="0"/>
        <w:adjustRightInd w:val="0"/>
        <w:jc w:val="both"/>
        <w:rPr>
          <w:rFonts w:asciiTheme="minorHAnsi" w:hAnsiTheme="minorHAnsi" w:cstheme="minorHAnsi"/>
          <w:b/>
          <w:u w:val="single"/>
        </w:rPr>
      </w:pPr>
      <w:r w:rsidRPr="007C4160">
        <w:rPr>
          <w:rFonts w:asciiTheme="minorHAnsi" w:hAnsiTheme="minorHAnsi" w:cstheme="minorHAnsi"/>
          <w:shd w:val="clear" w:color="auto" w:fill="FFFFFF"/>
        </w:rPr>
        <w:t xml:space="preserve">Artritis idiopática juvenil </w:t>
      </w:r>
      <w:proofErr w:type="spellStart"/>
      <w:r w:rsidRPr="007C4160">
        <w:rPr>
          <w:rFonts w:asciiTheme="minorHAnsi" w:hAnsiTheme="minorHAnsi" w:cstheme="minorHAnsi"/>
          <w:shd w:val="clear" w:color="auto" w:fill="FFFFFF"/>
        </w:rPr>
        <w:t>poliarticular</w:t>
      </w:r>
      <w:proofErr w:type="spellEnd"/>
      <w:r w:rsidRPr="007C4160">
        <w:rPr>
          <w:rFonts w:asciiTheme="minorHAnsi" w:hAnsiTheme="minorHAnsi" w:cstheme="minorHAnsi"/>
          <w:shd w:val="clear" w:color="auto" w:fill="FFFFFF"/>
        </w:rPr>
        <w:t xml:space="preserve"> (</w:t>
      </w:r>
      <w:proofErr w:type="spellStart"/>
      <w:r w:rsidRPr="007C4160">
        <w:rPr>
          <w:rFonts w:asciiTheme="minorHAnsi" w:hAnsiTheme="minorHAnsi" w:cstheme="minorHAnsi"/>
          <w:shd w:val="clear" w:color="auto" w:fill="FFFFFF"/>
        </w:rPr>
        <w:t>poliarticular</w:t>
      </w:r>
      <w:proofErr w:type="spellEnd"/>
      <w:r w:rsidRPr="007C4160">
        <w:rPr>
          <w:rFonts w:asciiTheme="minorHAnsi" w:hAnsiTheme="minorHAnsi" w:cstheme="minorHAnsi"/>
          <w:shd w:val="clear" w:color="auto" w:fill="FFFFFF"/>
        </w:rPr>
        <w:t xml:space="preserve"> con factor reumatoide positivo [FR+] o negativo [FR-], </w:t>
      </w:r>
      <w:proofErr w:type="spellStart"/>
      <w:r w:rsidRPr="007C4160">
        <w:rPr>
          <w:rFonts w:asciiTheme="minorHAnsi" w:hAnsiTheme="minorHAnsi" w:cstheme="minorHAnsi"/>
          <w:shd w:val="clear" w:color="auto" w:fill="FFFFFF"/>
        </w:rPr>
        <w:t>oligoarticular</w:t>
      </w:r>
      <w:proofErr w:type="spellEnd"/>
      <w:r w:rsidRPr="007C4160">
        <w:rPr>
          <w:rFonts w:asciiTheme="minorHAnsi" w:hAnsiTheme="minorHAnsi" w:cstheme="minorHAnsi"/>
          <w:shd w:val="clear" w:color="auto" w:fill="FFFFFF"/>
        </w:rPr>
        <w:t xml:space="preserve"> extendida)</w:t>
      </w:r>
    </w:p>
    <w:p w:rsidR="009A6B6C" w:rsidRPr="007C4160" w:rsidRDefault="009A6B6C" w:rsidP="009A6B6C">
      <w:pPr>
        <w:pStyle w:val="Prrafodelista"/>
        <w:numPr>
          <w:ilvl w:val="2"/>
          <w:numId w:val="8"/>
        </w:numPr>
        <w:autoSpaceDE w:val="0"/>
        <w:autoSpaceDN w:val="0"/>
        <w:adjustRightInd w:val="0"/>
        <w:jc w:val="both"/>
        <w:rPr>
          <w:rFonts w:asciiTheme="minorHAnsi" w:hAnsiTheme="minorHAnsi" w:cstheme="minorHAnsi"/>
          <w:b/>
          <w:u w:val="single"/>
        </w:rPr>
      </w:pPr>
      <w:r w:rsidRPr="007C4160">
        <w:rPr>
          <w:rFonts w:asciiTheme="minorHAnsi" w:hAnsiTheme="minorHAnsi" w:cstheme="minorHAnsi"/>
          <w:shd w:val="clear" w:color="auto" w:fill="FFFFFF"/>
        </w:rPr>
        <w:t xml:space="preserve">Artritis relacionada con </w:t>
      </w:r>
      <w:proofErr w:type="spellStart"/>
      <w:r w:rsidRPr="007C4160">
        <w:rPr>
          <w:rFonts w:asciiTheme="minorHAnsi" w:hAnsiTheme="minorHAnsi" w:cstheme="minorHAnsi"/>
          <w:shd w:val="clear" w:color="auto" w:fill="FFFFFF"/>
        </w:rPr>
        <w:t>entesitis</w:t>
      </w:r>
      <w:proofErr w:type="spellEnd"/>
      <w:r w:rsidRPr="007C4160">
        <w:rPr>
          <w:rFonts w:asciiTheme="minorHAnsi" w:hAnsiTheme="minorHAnsi" w:cstheme="minorHAnsi"/>
          <w:shd w:val="clear" w:color="auto" w:fill="FFFFFF"/>
        </w:rPr>
        <w:t xml:space="preserve">, y </w:t>
      </w:r>
    </w:p>
    <w:p w:rsidR="00E2007F" w:rsidRPr="007C4160" w:rsidRDefault="009A6B6C" w:rsidP="009A6B6C">
      <w:pPr>
        <w:pStyle w:val="Prrafodelista"/>
        <w:numPr>
          <w:ilvl w:val="2"/>
          <w:numId w:val="8"/>
        </w:numPr>
        <w:autoSpaceDE w:val="0"/>
        <w:autoSpaceDN w:val="0"/>
        <w:adjustRightInd w:val="0"/>
        <w:jc w:val="both"/>
        <w:rPr>
          <w:rFonts w:asciiTheme="minorHAnsi" w:hAnsiTheme="minorHAnsi" w:cstheme="minorHAnsi"/>
          <w:b/>
          <w:u w:val="single"/>
        </w:rPr>
      </w:pPr>
      <w:r w:rsidRPr="007C4160">
        <w:rPr>
          <w:rFonts w:asciiTheme="minorHAnsi" w:hAnsiTheme="minorHAnsi" w:cstheme="minorHAnsi"/>
          <w:shd w:val="clear" w:color="auto" w:fill="FFFFFF"/>
        </w:rPr>
        <w:t xml:space="preserve">Artritis </w:t>
      </w:r>
      <w:proofErr w:type="spellStart"/>
      <w:r w:rsidRPr="007C4160">
        <w:rPr>
          <w:rFonts w:asciiTheme="minorHAnsi" w:hAnsiTheme="minorHAnsi" w:cstheme="minorHAnsi"/>
          <w:shd w:val="clear" w:color="auto" w:fill="FFFFFF"/>
        </w:rPr>
        <w:t>psoriásica</w:t>
      </w:r>
      <w:proofErr w:type="spellEnd"/>
      <w:r w:rsidRPr="007C4160">
        <w:rPr>
          <w:rFonts w:asciiTheme="minorHAnsi" w:hAnsiTheme="minorHAnsi" w:cstheme="minorHAnsi"/>
          <w:shd w:val="clear" w:color="auto" w:fill="FFFFFF"/>
        </w:rPr>
        <w:t xml:space="preserve"> juvenil. </w:t>
      </w:r>
    </w:p>
    <w:p w:rsidR="009A6B6C" w:rsidRPr="007C4160" w:rsidRDefault="009A6B6C" w:rsidP="009A6B6C">
      <w:pPr>
        <w:pStyle w:val="Prrafodelista"/>
        <w:numPr>
          <w:ilvl w:val="1"/>
          <w:numId w:val="8"/>
        </w:numPr>
        <w:autoSpaceDE w:val="0"/>
        <w:autoSpaceDN w:val="0"/>
        <w:adjustRightInd w:val="0"/>
        <w:jc w:val="both"/>
        <w:rPr>
          <w:rFonts w:asciiTheme="minorHAnsi" w:hAnsiTheme="minorHAnsi" w:cstheme="minorHAnsi"/>
          <w:b/>
          <w:u w:val="single"/>
        </w:rPr>
      </w:pPr>
      <w:r w:rsidRPr="007C4160">
        <w:rPr>
          <w:rFonts w:asciiTheme="minorHAnsi" w:hAnsiTheme="minorHAnsi" w:cstheme="minorHAnsi"/>
          <w:shd w:val="clear" w:color="auto" w:fill="FFFFFF"/>
        </w:rPr>
        <w:t>Dermatitis atópica en pacientes pediátricos a partir de 2 años de edad que son candidatos a tratamiento sistémico.</w:t>
      </w:r>
    </w:p>
    <w:p w:rsidR="00E2007F" w:rsidRPr="00BD6F48" w:rsidRDefault="00E2007F" w:rsidP="00BD6F48">
      <w:pPr>
        <w:autoSpaceDE w:val="0"/>
        <w:autoSpaceDN w:val="0"/>
        <w:adjustRightInd w:val="0"/>
        <w:ind w:left="708"/>
        <w:jc w:val="both"/>
        <w:rPr>
          <w:rFonts w:asciiTheme="minorHAnsi" w:hAnsiTheme="minorHAnsi" w:cstheme="minorHAnsi"/>
          <w:b/>
          <w:color w:val="FF0000"/>
          <w:u w:val="single"/>
        </w:rPr>
      </w:pPr>
    </w:p>
    <w:p w:rsidR="00674E9F" w:rsidRPr="00AA0025" w:rsidRDefault="00674E9F" w:rsidP="00674E9F">
      <w:pPr>
        <w:pStyle w:val="Prrafodelista"/>
        <w:numPr>
          <w:ilvl w:val="0"/>
          <w:numId w:val="19"/>
        </w:numPr>
        <w:jc w:val="both"/>
        <w:rPr>
          <w:rFonts w:asciiTheme="minorHAnsi" w:eastAsia="Times New Roman" w:hAnsiTheme="minorHAnsi" w:cs="Arial"/>
          <w:b/>
          <w:u w:val="single"/>
          <w:lang w:eastAsia="es-ES"/>
        </w:rPr>
      </w:pPr>
      <w:r w:rsidRPr="00AA0025">
        <w:rPr>
          <w:rFonts w:asciiTheme="minorHAnsi" w:eastAsia="Times New Roman" w:hAnsiTheme="minorHAnsi" w:cs="Arial"/>
          <w:b/>
          <w:u w:val="single"/>
          <w:lang w:eastAsia="es-ES"/>
        </w:rPr>
        <w:t>MODIFICACIÓN EN LAS CONDICIONES DE PRESCRIPCIÓN Y DISPENSACIÓN</w:t>
      </w:r>
    </w:p>
    <w:p w:rsidR="00674E9F" w:rsidRPr="00AA0025" w:rsidRDefault="00674E9F" w:rsidP="00674E9F">
      <w:pPr>
        <w:jc w:val="both"/>
        <w:rPr>
          <w:rFonts w:ascii="Arial" w:eastAsia="Times New Roman" w:hAnsi="Arial" w:cs="Arial"/>
          <w:b/>
          <w:lang w:eastAsia="es-ES"/>
        </w:rPr>
      </w:pPr>
    </w:p>
    <w:p w:rsidR="00674E9F" w:rsidRPr="00AA0025" w:rsidRDefault="00674E9F" w:rsidP="00674E9F">
      <w:pPr>
        <w:widowControl w:val="0"/>
        <w:ind w:left="142" w:firstLine="207"/>
        <w:jc w:val="both"/>
        <w:rPr>
          <w:rFonts w:ascii="Arial" w:hAnsi="Arial" w:cs="Arial"/>
          <w:b/>
          <w:u w:val="single"/>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0"/>
        <w:gridCol w:w="2835"/>
        <w:gridCol w:w="1843"/>
        <w:gridCol w:w="567"/>
        <w:gridCol w:w="850"/>
        <w:gridCol w:w="709"/>
        <w:gridCol w:w="992"/>
        <w:gridCol w:w="993"/>
      </w:tblGrid>
      <w:tr w:rsidR="00AA0025" w:rsidRPr="00AA0025" w:rsidTr="00674E9F">
        <w:trPr>
          <w:trHeight w:val="353"/>
        </w:trPr>
        <w:tc>
          <w:tcPr>
            <w:tcW w:w="850" w:type="dxa"/>
            <w:shd w:val="solid" w:color="D9D9D9" w:themeColor="background1" w:themeShade="D9" w:fill="FFFFFF"/>
            <w:vAlign w:val="center"/>
          </w:tcPr>
          <w:p w:rsidR="00674E9F" w:rsidRPr="00AA0025" w:rsidRDefault="00674E9F" w:rsidP="00674E9F">
            <w:pPr>
              <w:jc w:val="center"/>
              <w:rPr>
                <w:rFonts w:asciiTheme="minorHAnsi" w:hAnsiTheme="minorHAnsi" w:cs="Arial"/>
                <w:b/>
                <w:sz w:val="20"/>
                <w:szCs w:val="20"/>
              </w:rPr>
            </w:pPr>
            <w:r w:rsidRPr="00AA0025">
              <w:rPr>
                <w:rFonts w:asciiTheme="minorHAnsi" w:hAnsiTheme="minorHAnsi" w:cs="Arial"/>
                <w:b/>
                <w:sz w:val="20"/>
                <w:szCs w:val="20"/>
              </w:rPr>
              <w:t>CN</w:t>
            </w:r>
          </w:p>
        </w:tc>
        <w:tc>
          <w:tcPr>
            <w:tcW w:w="2835" w:type="dxa"/>
            <w:shd w:val="solid" w:color="D9D9D9" w:themeColor="background1" w:themeShade="D9" w:fill="FFFFFF"/>
            <w:vAlign w:val="center"/>
          </w:tcPr>
          <w:p w:rsidR="00674E9F" w:rsidRPr="00AA0025" w:rsidRDefault="00674E9F" w:rsidP="00674E9F">
            <w:pPr>
              <w:jc w:val="center"/>
              <w:rPr>
                <w:rFonts w:asciiTheme="minorHAnsi" w:hAnsiTheme="minorHAnsi" w:cs="Arial"/>
                <w:b/>
                <w:sz w:val="20"/>
                <w:szCs w:val="20"/>
              </w:rPr>
            </w:pPr>
            <w:r w:rsidRPr="00AA0025">
              <w:rPr>
                <w:rFonts w:asciiTheme="minorHAnsi" w:hAnsiTheme="minorHAnsi" w:cs="Arial"/>
                <w:b/>
                <w:sz w:val="20"/>
                <w:szCs w:val="20"/>
              </w:rPr>
              <w:t>NOMBRE</w:t>
            </w:r>
          </w:p>
        </w:tc>
        <w:tc>
          <w:tcPr>
            <w:tcW w:w="1843" w:type="dxa"/>
            <w:shd w:val="solid" w:color="D9D9D9" w:themeColor="background1" w:themeShade="D9" w:fill="FFFFFF"/>
            <w:vAlign w:val="center"/>
          </w:tcPr>
          <w:p w:rsidR="00674E9F" w:rsidRPr="00AA0025" w:rsidRDefault="00674E9F" w:rsidP="00674E9F">
            <w:pPr>
              <w:autoSpaceDE w:val="0"/>
              <w:autoSpaceDN w:val="0"/>
              <w:adjustRightInd w:val="0"/>
              <w:jc w:val="center"/>
              <w:rPr>
                <w:rFonts w:asciiTheme="minorHAnsi" w:eastAsiaTheme="minorHAnsi" w:hAnsiTheme="minorHAnsi" w:cs="Arial"/>
                <w:b/>
                <w:bCs/>
                <w:sz w:val="20"/>
                <w:szCs w:val="20"/>
              </w:rPr>
            </w:pPr>
            <w:r w:rsidRPr="00AA0025">
              <w:rPr>
                <w:rFonts w:asciiTheme="minorHAnsi" w:eastAsiaTheme="minorHAnsi" w:hAnsiTheme="minorHAnsi" w:cs="Arial"/>
                <w:b/>
                <w:bCs/>
                <w:sz w:val="20"/>
                <w:szCs w:val="20"/>
              </w:rPr>
              <w:t>Principio activo</w:t>
            </w:r>
          </w:p>
        </w:tc>
        <w:tc>
          <w:tcPr>
            <w:tcW w:w="567" w:type="dxa"/>
            <w:shd w:val="solid" w:color="D9D9D9" w:themeColor="background1" w:themeShade="D9" w:fill="FFFFFF"/>
            <w:vAlign w:val="center"/>
          </w:tcPr>
          <w:p w:rsidR="00674E9F" w:rsidRPr="00AA0025" w:rsidRDefault="00674E9F" w:rsidP="00674E9F">
            <w:pPr>
              <w:autoSpaceDE w:val="0"/>
              <w:autoSpaceDN w:val="0"/>
              <w:adjustRightInd w:val="0"/>
              <w:jc w:val="center"/>
              <w:rPr>
                <w:rFonts w:asciiTheme="minorHAnsi" w:eastAsiaTheme="minorHAnsi" w:hAnsiTheme="minorHAnsi" w:cs="Arial"/>
                <w:b/>
                <w:bCs/>
                <w:sz w:val="20"/>
                <w:szCs w:val="20"/>
              </w:rPr>
            </w:pPr>
            <w:r w:rsidRPr="00AA0025">
              <w:rPr>
                <w:rFonts w:asciiTheme="minorHAnsi" w:eastAsiaTheme="minorHAnsi" w:hAnsiTheme="minorHAnsi" w:cs="Arial"/>
                <w:b/>
                <w:bCs/>
                <w:sz w:val="20"/>
                <w:szCs w:val="20"/>
              </w:rPr>
              <w:t>DH</w:t>
            </w:r>
          </w:p>
        </w:tc>
        <w:tc>
          <w:tcPr>
            <w:tcW w:w="850" w:type="dxa"/>
            <w:shd w:val="solid" w:color="D9D9D9" w:themeColor="background1" w:themeShade="D9" w:fill="FFFFFF"/>
            <w:vAlign w:val="center"/>
          </w:tcPr>
          <w:p w:rsidR="00674E9F" w:rsidRPr="00AA0025" w:rsidRDefault="00674E9F" w:rsidP="00674E9F">
            <w:pPr>
              <w:autoSpaceDE w:val="0"/>
              <w:autoSpaceDN w:val="0"/>
              <w:adjustRightInd w:val="0"/>
              <w:jc w:val="center"/>
              <w:rPr>
                <w:rFonts w:asciiTheme="minorHAnsi" w:eastAsiaTheme="minorHAnsi" w:hAnsiTheme="minorHAnsi" w:cs="Arial"/>
                <w:b/>
                <w:bCs/>
                <w:sz w:val="20"/>
                <w:szCs w:val="20"/>
              </w:rPr>
            </w:pPr>
            <w:r w:rsidRPr="00AA0025">
              <w:rPr>
                <w:rFonts w:asciiTheme="minorHAnsi" w:eastAsiaTheme="minorHAnsi" w:hAnsiTheme="minorHAnsi" w:cs="Arial"/>
                <w:b/>
                <w:bCs/>
                <w:sz w:val="20"/>
                <w:szCs w:val="20"/>
              </w:rPr>
              <w:t>UH</w:t>
            </w:r>
          </w:p>
        </w:tc>
        <w:tc>
          <w:tcPr>
            <w:tcW w:w="709" w:type="dxa"/>
            <w:shd w:val="solid" w:color="D9D9D9" w:themeColor="background1" w:themeShade="D9" w:fill="FFFFFF"/>
            <w:vAlign w:val="center"/>
          </w:tcPr>
          <w:p w:rsidR="00674E9F" w:rsidRPr="00AA0025" w:rsidRDefault="00674E9F" w:rsidP="00674E9F">
            <w:pPr>
              <w:autoSpaceDE w:val="0"/>
              <w:autoSpaceDN w:val="0"/>
              <w:adjustRightInd w:val="0"/>
              <w:jc w:val="center"/>
              <w:rPr>
                <w:rFonts w:asciiTheme="minorHAnsi" w:eastAsiaTheme="minorHAnsi" w:hAnsiTheme="minorHAnsi" w:cs="Arial"/>
                <w:b/>
                <w:bCs/>
                <w:sz w:val="20"/>
                <w:szCs w:val="20"/>
              </w:rPr>
            </w:pPr>
            <w:r w:rsidRPr="00AA0025">
              <w:rPr>
                <w:rFonts w:asciiTheme="minorHAnsi" w:eastAsiaTheme="minorHAnsi" w:hAnsiTheme="minorHAnsi" w:cs="Arial"/>
                <w:b/>
                <w:bCs/>
                <w:sz w:val="20"/>
                <w:szCs w:val="20"/>
              </w:rPr>
              <w:t>SCP</w:t>
            </w:r>
          </w:p>
        </w:tc>
        <w:tc>
          <w:tcPr>
            <w:tcW w:w="992" w:type="dxa"/>
            <w:shd w:val="solid" w:color="D9D9D9" w:themeColor="background1" w:themeShade="D9" w:fill="FFFFFF"/>
            <w:vAlign w:val="center"/>
          </w:tcPr>
          <w:p w:rsidR="00674E9F" w:rsidRPr="00AA0025" w:rsidRDefault="00674E9F" w:rsidP="00674E9F">
            <w:pPr>
              <w:autoSpaceDE w:val="0"/>
              <w:autoSpaceDN w:val="0"/>
              <w:adjustRightInd w:val="0"/>
              <w:jc w:val="center"/>
              <w:rPr>
                <w:rFonts w:asciiTheme="minorHAnsi" w:eastAsiaTheme="minorHAnsi" w:hAnsiTheme="minorHAnsi" w:cs="Arial"/>
                <w:b/>
                <w:bCs/>
                <w:sz w:val="20"/>
                <w:szCs w:val="20"/>
              </w:rPr>
            </w:pPr>
            <w:r w:rsidRPr="00AA0025">
              <w:rPr>
                <w:rFonts w:asciiTheme="minorHAnsi" w:eastAsiaTheme="minorHAnsi" w:hAnsiTheme="minorHAnsi" w:cs="Arial"/>
                <w:b/>
                <w:bCs/>
                <w:sz w:val="20"/>
                <w:szCs w:val="20"/>
              </w:rPr>
              <w:t>Biosimilar</w:t>
            </w:r>
          </w:p>
        </w:tc>
        <w:tc>
          <w:tcPr>
            <w:tcW w:w="993" w:type="dxa"/>
            <w:shd w:val="solid" w:color="D9D9D9" w:themeColor="background1" w:themeShade="D9" w:fill="FFFFFF"/>
            <w:vAlign w:val="center"/>
          </w:tcPr>
          <w:p w:rsidR="00674E9F" w:rsidRPr="00AA0025" w:rsidRDefault="00674E9F" w:rsidP="00674E9F">
            <w:pPr>
              <w:autoSpaceDE w:val="0"/>
              <w:autoSpaceDN w:val="0"/>
              <w:adjustRightInd w:val="0"/>
              <w:jc w:val="center"/>
              <w:rPr>
                <w:rFonts w:asciiTheme="minorHAnsi" w:eastAsiaTheme="minorHAnsi" w:hAnsiTheme="minorHAnsi" w:cs="Arial"/>
                <w:b/>
                <w:bCs/>
                <w:sz w:val="20"/>
                <w:szCs w:val="20"/>
              </w:rPr>
            </w:pPr>
            <w:r w:rsidRPr="00AA0025">
              <w:rPr>
                <w:rFonts w:asciiTheme="minorHAnsi" w:eastAsiaTheme="minorHAnsi" w:hAnsiTheme="minorHAnsi" w:cs="Arial"/>
                <w:b/>
                <w:bCs/>
                <w:sz w:val="20"/>
                <w:szCs w:val="20"/>
              </w:rPr>
              <w:t>Huérfano</w:t>
            </w:r>
          </w:p>
        </w:tc>
      </w:tr>
      <w:tr w:rsidR="00AA0025" w:rsidRPr="00AA0025" w:rsidTr="00674E9F">
        <w:trPr>
          <w:trHeight w:val="353"/>
        </w:trPr>
        <w:tc>
          <w:tcPr>
            <w:tcW w:w="850" w:type="dxa"/>
            <w:shd w:val="solid" w:color="FFFFFF" w:fill="FFFFFF"/>
            <w:vAlign w:val="center"/>
          </w:tcPr>
          <w:p w:rsidR="00674E9F" w:rsidRPr="00AA0025" w:rsidRDefault="00674E9F" w:rsidP="00674E9F">
            <w:pPr>
              <w:autoSpaceDE w:val="0"/>
              <w:autoSpaceDN w:val="0"/>
              <w:adjustRightInd w:val="0"/>
              <w:jc w:val="center"/>
              <w:rPr>
                <w:rFonts w:asciiTheme="minorHAnsi" w:eastAsiaTheme="minorHAnsi" w:hAnsiTheme="minorHAnsi" w:cs="Arial"/>
                <w:sz w:val="20"/>
                <w:szCs w:val="20"/>
              </w:rPr>
            </w:pPr>
            <w:r w:rsidRPr="00AA0025">
              <w:rPr>
                <w:rFonts w:asciiTheme="minorHAnsi" w:eastAsiaTheme="minorHAnsi" w:hAnsiTheme="minorHAnsi" w:cs="Arial"/>
                <w:sz w:val="20"/>
                <w:szCs w:val="20"/>
              </w:rPr>
              <w:t>732023</w:t>
            </w:r>
          </w:p>
        </w:tc>
        <w:tc>
          <w:tcPr>
            <w:tcW w:w="2835" w:type="dxa"/>
            <w:shd w:val="solid" w:color="FFFFFF" w:fill="FFFFFF"/>
            <w:vAlign w:val="center"/>
          </w:tcPr>
          <w:p w:rsidR="00674E9F" w:rsidRPr="00AA0025" w:rsidRDefault="00674E9F" w:rsidP="00674E9F">
            <w:pPr>
              <w:autoSpaceDE w:val="0"/>
              <w:autoSpaceDN w:val="0"/>
              <w:adjustRightInd w:val="0"/>
              <w:rPr>
                <w:rFonts w:asciiTheme="minorHAnsi" w:eastAsiaTheme="minorHAnsi" w:hAnsiTheme="minorHAnsi" w:cs="Arial"/>
                <w:sz w:val="20"/>
                <w:szCs w:val="20"/>
              </w:rPr>
            </w:pPr>
            <w:r w:rsidRPr="00AA0025">
              <w:rPr>
                <w:rFonts w:asciiTheme="minorHAnsi" w:eastAsiaTheme="minorHAnsi" w:hAnsiTheme="minorHAnsi" w:cs="Arial"/>
                <w:sz w:val="20"/>
                <w:szCs w:val="20"/>
              </w:rPr>
              <w:t>HEPCLUDEX 2MG 30 VIALES POLVO PARA SOLUCION INYECTABLE</w:t>
            </w:r>
          </w:p>
        </w:tc>
        <w:tc>
          <w:tcPr>
            <w:tcW w:w="1843" w:type="dxa"/>
            <w:shd w:val="solid" w:color="FFFFFF" w:fill="FFFFFF"/>
            <w:vAlign w:val="center"/>
          </w:tcPr>
          <w:p w:rsidR="00674E9F" w:rsidRPr="00AA0025" w:rsidRDefault="00674E9F" w:rsidP="00674E9F">
            <w:pPr>
              <w:ind w:left="113"/>
              <w:jc w:val="center"/>
              <w:rPr>
                <w:rFonts w:asciiTheme="minorHAnsi" w:hAnsiTheme="minorHAnsi" w:cs="Courier New"/>
                <w:sz w:val="20"/>
                <w:szCs w:val="20"/>
              </w:rPr>
            </w:pPr>
            <w:r w:rsidRPr="00AA0025">
              <w:rPr>
                <w:rFonts w:asciiTheme="minorHAnsi" w:hAnsiTheme="minorHAnsi" w:cs="Courier New"/>
                <w:sz w:val="20"/>
                <w:szCs w:val="20"/>
              </w:rPr>
              <w:t>BULEVIRTIDA</w:t>
            </w:r>
          </w:p>
        </w:tc>
        <w:tc>
          <w:tcPr>
            <w:tcW w:w="567" w:type="dxa"/>
            <w:shd w:val="solid" w:color="FFFFFF" w:fill="FFFFFF"/>
            <w:vAlign w:val="center"/>
          </w:tcPr>
          <w:p w:rsidR="00674E9F" w:rsidRPr="00AA0025" w:rsidRDefault="00674E9F" w:rsidP="00674E9F">
            <w:pPr>
              <w:ind w:left="254"/>
              <w:rPr>
                <w:rFonts w:asciiTheme="minorHAnsi" w:hAnsiTheme="minorHAnsi" w:cs="Courier New"/>
                <w:sz w:val="20"/>
                <w:szCs w:val="20"/>
              </w:rPr>
            </w:pPr>
          </w:p>
        </w:tc>
        <w:tc>
          <w:tcPr>
            <w:tcW w:w="850" w:type="dxa"/>
            <w:shd w:val="solid" w:color="FFFFFF" w:fill="FFFFFF"/>
            <w:vAlign w:val="center"/>
          </w:tcPr>
          <w:p w:rsidR="00674E9F" w:rsidRPr="00AA0025" w:rsidRDefault="00674E9F" w:rsidP="00674E9F">
            <w:pPr>
              <w:ind w:left="112"/>
              <w:jc w:val="center"/>
              <w:rPr>
                <w:rFonts w:asciiTheme="minorHAnsi" w:hAnsiTheme="minorHAnsi"/>
                <w:sz w:val="20"/>
                <w:szCs w:val="20"/>
              </w:rPr>
            </w:pPr>
            <w:r w:rsidRPr="00AA0025">
              <w:rPr>
                <w:rFonts w:asciiTheme="minorHAnsi" w:hAnsiTheme="minorHAnsi" w:cs="Courier New"/>
                <w:sz w:val="20"/>
                <w:szCs w:val="20"/>
              </w:rPr>
              <w:t>√</w:t>
            </w:r>
          </w:p>
        </w:tc>
        <w:tc>
          <w:tcPr>
            <w:tcW w:w="709" w:type="dxa"/>
            <w:shd w:val="solid" w:color="FFFFFF" w:fill="FFFFFF"/>
            <w:vAlign w:val="center"/>
          </w:tcPr>
          <w:p w:rsidR="00674E9F" w:rsidRPr="00AA0025" w:rsidRDefault="00674E9F" w:rsidP="00674E9F">
            <w:pPr>
              <w:ind w:left="111"/>
              <w:rPr>
                <w:rFonts w:asciiTheme="minorHAnsi" w:hAnsiTheme="minorHAnsi" w:cs="Courier New"/>
                <w:sz w:val="20"/>
                <w:szCs w:val="20"/>
              </w:rPr>
            </w:pPr>
          </w:p>
        </w:tc>
        <w:tc>
          <w:tcPr>
            <w:tcW w:w="992" w:type="dxa"/>
            <w:shd w:val="solid" w:color="FFFFFF" w:fill="FFFFFF"/>
            <w:vAlign w:val="center"/>
          </w:tcPr>
          <w:p w:rsidR="00674E9F" w:rsidRPr="00AA0025" w:rsidRDefault="00674E9F" w:rsidP="00674E9F">
            <w:pPr>
              <w:ind w:left="360"/>
              <w:rPr>
                <w:rFonts w:asciiTheme="minorHAnsi" w:hAnsiTheme="minorHAnsi" w:cs="Courier New"/>
                <w:sz w:val="20"/>
                <w:szCs w:val="20"/>
              </w:rPr>
            </w:pPr>
          </w:p>
        </w:tc>
        <w:tc>
          <w:tcPr>
            <w:tcW w:w="993" w:type="dxa"/>
            <w:shd w:val="solid" w:color="FFFFFF" w:fill="FFFFFF"/>
            <w:vAlign w:val="center"/>
          </w:tcPr>
          <w:p w:rsidR="00674E9F" w:rsidRPr="00AA0025" w:rsidRDefault="00674E9F" w:rsidP="00674E9F">
            <w:pPr>
              <w:ind w:left="360"/>
              <w:rPr>
                <w:rFonts w:asciiTheme="minorHAnsi" w:hAnsiTheme="minorHAnsi" w:cs="Courier New"/>
                <w:sz w:val="20"/>
                <w:szCs w:val="20"/>
              </w:rPr>
            </w:pPr>
            <w:r w:rsidRPr="00AA0025">
              <w:rPr>
                <w:rFonts w:asciiTheme="minorHAnsi" w:hAnsiTheme="minorHAnsi" w:cs="Courier New"/>
                <w:sz w:val="20"/>
                <w:szCs w:val="20"/>
              </w:rPr>
              <w:t>√</w:t>
            </w:r>
          </w:p>
        </w:tc>
      </w:tr>
    </w:tbl>
    <w:p w:rsidR="00266A3C" w:rsidRPr="00AA0025" w:rsidRDefault="00266A3C" w:rsidP="00266A3C">
      <w:pPr>
        <w:autoSpaceDE w:val="0"/>
        <w:autoSpaceDN w:val="0"/>
        <w:adjustRightInd w:val="0"/>
        <w:ind w:left="1428"/>
        <w:jc w:val="both"/>
        <w:rPr>
          <w:rFonts w:asciiTheme="minorHAnsi" w:hAnsiTheme="minorHAnsi" w:cstheme="minorHAnsi"/>
        </w:rPr>
      </w:pPr>
    </w:p>
    <w:p w:rsidR="00674E9F" w:rsidRPr="00AA0025" w:rsidRDefault="00674E9F" w:rsidP="00674E9F">
      <w:pPr>
        <w:pStyle w:val="Prrafodelista"/>
        <w:numPr>
          <w:ilvl w:val="1"/>
          <w:numId w:val="8"/>
        </w:numPr>
        <w:autoSpaceDE w:val="0"/>
        <w:autoSpaceDN w:val="0"/>
        <w:adjustRightInd w:val="0"/>
        <w:jc w:val="both"/>
        <w:rPr>
          <w:rFonts w:asciiTheme="minorHAnsi" w:hAnsiTheme="minorHAnsi" w:cstheme="minorHAnsi"/>
        </w:rPr>
      </w:pPr>
      <w:r w:rsidRPr="00AA0025">
        <w:rPr>
          <w:rFonts w:asciiTheme="minorHAnsi" w:hAnsiTheme="minorHAnsi" w:cstheme="minorHAnsi"/>
          <w:u w:val="single"/>
        </w:rPr>
        <w:t xml:space="preserve">Se añade la </w:t>
      </w:r>
      <w:r w:rsidR="00A348DE" w:rsidRPr="00AA0025">
        <w:rPr>
          <w:rFonts w:asciiTheme="minorHAnsi" w:hAnsiTheme="minorHAnsi" w:cstheme="minorHAnsi"/>
          <w:u w:val="single"/>
        </w:rPr>
        <w:t xml:space="preserve">siguiente </w:t>
      </w:r>
      <w:r w:rsidRPr="00AA0025">
        <w:rPr>
          <w:rFonts w:asciiTheme="minorHAnsi" w:hAnsiTheme="minorHAnsi" w:cstheme="minorHAnsi"/>
          <w:u w:val="single"/>
        </w:rPr>
        <w:t>cláusula</w:t>
      </w:r>
      <w:r w:rsidRPr="00AA0025">
        <w:rPr>
          <w:rFonts w:asciiTheme="minorHAnsi" w:hAnsiTheme="minorHAnsi" w:cstheme="minorHAnsi"/>
        </w:rPr>
        <w:t>: A las mutualidades del SNS (MUFACE, MUGEJU e ISFAS), así como a sanidad penitenciaria, se les aplicará el acuerdo precio/volumen teniendo en cuenta la cifra regional correspondiente a la ubicación del centro que realiza la adquisición.</w:t>
      </w:r>
    </w:p>
    <w:p w:rsidR="00674E9F" w:rsidRPr="00AA0025" w:rsidRDefault="0083529A" w:rsidP="00192C76">
      <w:pPr>
        <w:pStyle w:val="Prrafodelista"/>
        <w:numPr>
          <w:ilvl w:val="1"/>
          <w:numId w:val="8"/>
        </w:numPr>
        <w:autoSpaceDE w:val="0"/>
        <w:autoSpaceDN w:val="0"/>
        <w:adjustRightInd w:val="0"/>
        <w:jc w:val="both"/>
        <w:rPr>
          <w:rFonts w:asciiTheme="minorHAnsi" w:hAnsiTheme="minorHAnsi" w:cstheme="minorHAnsi"/>
        </w:rPr>
      </w:pPr>
      <w:r w:rsidRPr="00AA0025">
        <w:rPr>
          <w:rFonts w:asciiTheme="minorHAnsi" w:hAnsiTheme="minorHAnsi" w:cstheme="minorHAnsi"/>
          <w:u w:val="single"/>
        </w:rPr>
        <w:t>Se actualiza la</w:t>
      </w:r>
      <w:r w:rsidR="00674E9F" w:rsidRPr="00AA0025">
        <w:rPr>
          <w:rFonts w:asciiTheme="minorHAnsi" w:hAnsiTheme="minorHAnsi" w:cstheme="minorHAnsi"/>
          <w:u w:val="single"/>
        </w:rPr>
        <w:t xml:space="preserve"> tabla de</w:t>
      </w:r>
      <w:r w:rsidR="00266A3C" w:rsidRPr="00AA0025">
        <w:rPr>
          <w:rFonts w:asciiTheme="minorHAnsi" w:hAnsiTheme="minorHAnsi" w:cstheme="minorHAnsi"/>
          <w:u w:val="single"/>
        </w:rPr>
        <w:t>l</w:t>
      </w:r>
      <w:r w:rsidR="00674E9F" w:rsidRPr="00AA0025">
        <w:rPr>
          <w:rFonts w:asciiTheme="minorHAnsi" w:hAnsiTheme="minorHAnsi" w:cstheme="minorHAnsi"/>
          <w:u w:val="single"/>
        </w:rPr>
        <w:t xml:space="preserve"> acuerdo precio/volumen</w:t>
      </w:r>
      <w:r w:rsidR="00266A3C" w:rsidRPr="00AA0025">
        <w:rPr>
          <w:rFonts w:asciiTheme="minorHAnsi" w:hAnsiTheme="minorHAnsi" w:cstheme="minorHAnsi"/>
        </w:rPr>
        <w:t xml:space="preserve"> en los siguientes términos:</w:t>
      </w:r>
    </w:p>
    <w:tbl>
      <w:tblPr>
        <w:tblpPr w:leftFromText="141" w:rightFromText="141" w:vertAnchor="text" w:horzAnchor="margin" w:tblpXSpec="center" w:tblpY="-400"/>
        <w:tblW w:w="10632" w:type="dxa"/>
        <w:tblLayout w:type="fixed"/>
        <w:tblCellMar>
          <w:left w:w="0" w:type="dxa"/>
          <w:right w:w="0" w:type="dxa"/>
        </w:tblCellMar>
        <w:tblLook w:val="04A0" w:firstRow="1" w:lastRow="0" w:firstColumn="1" w:lastColumn="0" w:noHBand="0" w:noVBand="1"/>
      </w:tblPr>
      <w:tblGrid>
        <w:gridCol w:w="709"/>
        <w:gridCol w:w="707"/>
        <w:gridCol w:w="734"/>
        <w:gridCol w:w="589"/>
        <w:gridCol w:w="380"/>
        <w:gridCol w:w="48"/>
        <w:gridCol w:w="709"/>
        <w:gridCol w:w="709"/>
        <w:gridCol w:w="567"/>
        <w:gridCol w:w="709"/>
        <w:gridCol w:w="473"/>
        <w:gridCol w:w="612"/>
        <w:gridCol w:w="663"/>
        <w:gridCol w:w="567"/>
        <w:gridCol w:w="567"/>
        <w:gridCol w:w="709"/>
        <w:gridCol w:w="613"/>
        <w:gridCol w:w="567"/>
      </w:tblGrid>
      <w:tr w:rsidR="00AA0025" w:rsidRPr="00AA0025" w:rsidTr="00674E9F">
        <w:trPr>
          <w:gridAfter w:val="1"/>
          <w:wAfter w:w="567" w:type="dxa"/>
          <w:trHeight w:val="549"/>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8"/>
                <w:szCs w:val="18"/>
              </w:rPr>
            </w:pPr>
            <w:r w:rsidRPr="00AA0025">
              <w:rPr>
                <w:rFonts w:ascii="Verdana" w:eastAsiaTheme="minorHAnsi" w:hAnsi="Verdana" w:cstheme="minorBidi"/>
                <w:sz w:val="18"/>
                <w:szCs w:val="18"/>
              </w:rPr>
              <w:lastRenderedPageBreak/>
              <w:br w:type="page"/>
            </w:r>
            <w:r w:rsidRPr="00AA0025">
              <w:rPr>
                <w:rFonts w:ascii="Verdana" w:eastAsiaTheme="minorHAnsi" w:hAnsi="Verdana" w:cstheme="minorBidi"/>
                <w:b/>
                <w:bCs/>
                <w:sz w:val="10"/>
                <w:szCs w:val="10"/>
              </w:rPr>
              <w:t>Comunidad Autónoma</w:t>
            </w:r>
          </w:p>
        </w:tc>
        <w:tc>
          <w:tcPr>
            <w:tcW w:w="241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b/>
                <w:bCs/>
                <w:sz w:val="10"/>
                <w:szCs w:val="10"/>
              </w:rPr>
            </w:pPr>
            <w:r w:rsidRPr="00AA0025">
              <w:rPr>
                <w:rFonts w:ascii="Verdana" w:eastAsiaTheme="minorHAnsi" w:hAnsi="Verdana" w:cstheme="minorBidi"/>
                <w:b/>
                <w:bCs/>
                <w:sz w:val="10"/>
                <w:szCs w:val="10"/>
              </w:rPr>
              <w:t>1 año</w:t>
            </w:r>
          </w:p>
        </w:tc>
        <w:tc>
          <w:tcPr>
            <w:tcW w:w="3827"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ind w:left="178" w:firstLine="142"/>
              <w:jc w:val="center"/>
              <w:rPr>
                <w:rFonts w:ascii="Verdana" w:eastAsiaTheme="minorHAnsi" w:hAnsi="Verdana" w:cstheme="minorBidi"/>
                <w:b/>
                <w:bCs/>
                <w:sz w:val="10"/>
                <w:szCs w:val="10"/>
              </w:rPr>
            </w:pPr>
            <w:r w:rsidRPr="00AA0025">
              <w:rPr>
                <w:rFonts w:ascii="Verdana" w:eastAsiaTheme="minorHAnsi" w:hAnsi="Verdana" w:cstheme="minorBidi"/>
                <w:b/>
                <w:bCs/>
                <w:sz w:val="10"/>
                <w:szCs w:val="10"/>
              </w:rPr>
              <w:t>2 año</w:t>
            </w:r>
          </w:p>
        </w:tc>
        <w:tc>
          <w:tcPr>
            <w:tcW w:w="311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b/>
                <w:bCs/>
                <w:sz w:val="10"/>
                <w:szCs w:val="10"/>
              </w:rPr>
            </w:pPr>
            <w:r w:rsidRPr="00AA0025">
              <w:rPr>
                <w:rFonts w:ascii="Verdana" w:eastAsiaTheme="minorHAnsi" w:hAnsi="Verdana" w:cstheme="minorBidi"/>
                <w:b/>
                <w:bCs/>
                <w:sz w:val="10"/>
                <w:szCs w:val="10"/>
              </w:rPr>
              <w:t>3 año</w:t>
            </w:r>
          </w:p>
        </w:tc>
      </w:tr>
      <w:tr w:rsidR="00AA0025" w:rsidRPr="00AA0025" w:rsidTr="00674E9F">
        <w:trPr>
          <w:trHeight w:val="67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4E9F" w:rsidRPr="00AA0025" w:rsidRDefault="00674E9F" w:rsidP="00674E9F">
            <w:pPr>
              <w:spacing w:after="200" w:line="276" w:lineRule="auto"/>
              <w:rPr>
                <w:rFonts w:ascii="Verdana" w:eastAsiaTheme="minorHAnsi" w:hAnsi="Verdana" w:cstheme="minorBidi"/>
                <w:sz w:val="10"/>
                <w:szCs w:val="10"/>
              </w:rPr>
            </w:pPr>
          </w:p>
        </w:tc>
        <w:tc>
          <w:tcPr>
            <w:tcW w:w="707" w:type="dxa"/>
            <w:tcBorders>
              <w:top w:val="nil"/>
              <w:left w:val="nil"/>
              <w:bottom w:val="single" w:sz="8" w:space="0" w:color="auto"/>
              <w:right w:val="single" w:sz="8" w:space="0" w:color="auto"/>
            </w:tcBorders>
            <w:tcMar>
              <w:top w:w="0" w:type="dxa"/>
              <w:left w:w="108" w:type="dxa"/>
              <w:bottom w:w="0" w:type="dxa"/>
              <w:right w:w="108" w:type="dxa"/>
            </w:tcMar>
          </w:tcPr>
          <w:p w:rsidR="00674E9F" w:rsidRPr="00AA0025" w:rsidRDefault="00674E9F" w:rsidP="00674E9F">
            <w:pPr>
              <w:spacing w:after="200" w:line="276" w:lineRule="auto"/>
              <w:rPr>
                <w:rFonts w:ascii="Verdana" w:eastAsiaTheme="minorHAnsi" w:hAnsi="Verdana" w:cstheme="minorBidi"/>
                <w:sz w:val="10"/>
                <w:szCs w:val="10"/>
              </w:rPr>
            </w:pPr>
          </w:p>
        </w:tc>
        <w:tc>
          <w:tcPr>
            <w:tcW w:w="734" w:type="dxa"/>
            <w:tcBorders>
              <w:top w:val="nil"/>
              <w:left w:val="nil"/>
              <w:bottom w:val="single" w:sz="8" w:space="0" w:color="auto"/>
              <w:right w:val="single" w:sz="8" w:space="0" w:color="auto"/>
            </w:tcBorders>
            <w:tcMar>
              <w:top w:w="0" w:type="dxa"/>
              <w:left w:w="108" w:type="dxa"/>
              <w:bottom w:w="0" w:type="dxa"/>
              <w:right w:w="108" w:type="dxa"/>
            </w:tcMar>
          </w:tcPr>
          <w:p w:rsidR="00674E9F" w:rsidRPr="00AA0025" w:rsidRDefault="00674E9F" w:rsidP="00674E9F">
            <w:pPr>
              <w:spacing w:after="200" w:line="276" w:lineRule="auto"/>
              <w:rPr>
                <w:rFonts w:ascii="Verdana" w:eastAsiaTheme="minorHAnsi" w:hAnsi="Verdana" w:cstheme="minorBidi"/>
                <w:sz w:val="10"/>
                <w:szCs w:val="10"/>
              </w:rPr>
            </w:pPr>
          </w:p>
        </w:tc>
        <w:tc>
          <w:tcPr>
            <w:tcW w:w="589" w:type="dxa"/>
            <w:tcBorders>
              <w:top w:val="nil"/>
              <w:left w:val="nil"/>
              <w:bottom w:val="single" w:sz="8" w:space="0" w:color="auto"/>
              <w:right w:val="single" w:sz="8" w:space="0" w:color="auto"/>
            </w:tcBorders>
            <w:tcMar>
              <w:top w:w="0" w:type="dxa"/>
              <w:left w:w="108" w:type="dxa"/>
              <w:bottom w:w="0" w:type="dxa"/>
              <w:right w:w="108" w:type="dxa"/>
            </w:tcMar>
          </w:tcPr>
          <w:p w:rsidR="00674E9F" w:rsidRPr="00AA0025" w:rsidRDefault="00674E9F" w:rsidP="00674E9F">
            <w:pPr>
              <w:spacing w:after="200" w:line="276" w:lineRule="auto"/>
              <w:rPr>
                <w:rFonts w:ascii="Verdana" w:eastAsiaTheme="minorHAnsi" w:hAnsi="Verdana" w:cstheme="minorBidi"/>
                <w:sz w:val="10"/>
                <w:szCs w:val="10"/>
              </w:rPr>
            </w:pP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tcPr>
          <w:p w:rsidR="00674E9F" w:rsidRPr="00AA0025" w:rsidRDefault="00674E9F" w:rsidP="00674E9F">
            <w:pPr>
              <w:spacing w:after="200" w:line="276" w:lineRule="auto"/>
              <w:rPr>
                <w:rFonts w:ascii="Verdana" w:eastAsiaTheme="minorHAnsi" w:hAnsi="Verdana" w:cstheme="minorBidi"/>
                <w:sz w:val="10"/>
                <w:szCs w:val="10"/>
              </w:rPr>
            </w:pP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both"/>
              <w:rPr>
                <w:rFonts w:ascii="Verdana" w:eastAsiaTheme="minorHAnsi" w:hAnsi="Verdana" w:cstheme="minorBidi"/>
                <w:sz w:val="10"/>
                <w:szCs w:val="10"/>
              </w:rPr>
            </w:pPr>
            <w:r w:rsidRPr="00AA0025">
              <w:rPr>
                <w:rFonts w:ascii="Verdana" w:eastAsiaTheme="minorHAnsi" w:hAnsi="Verdana" w:cstheme="minorBidi"/>
                <w:sz w:val="10"/>
                <w:szCs w:val="10"/>
              </w:rPr>
              <w:t>Si el consumo el año 1, es ≤ 80% del total de la cifra regional, PVL 3.953,39 €.</w:t>
            </w:r>
          </w:p>
          <w:p w:rsidR="00674E9F" w:rsidRPr="00AA0025" w:rsidRDefault="00674E9F" w:rsidP="00674E9F">
            <w:pPr>
              <w:spacing w:after="200" w:line="276" w:lineRule="auto"/>
              <w:jc w:val="both"/>
              <w:rPr>
                <w:rFonts w:ascii="Verdana" w:eastAsiaTheme="minorHAnsi" w:hAnsi="Verdana" w:cstheme="minorBidi"/>
                <w:sz w:val="10"/>
                <w:szCs w:val="10"/>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both"/>
              <w:rPr>
                <w:rFonts w:ascii="Verdana" w:eastAsiaTheme="minorHAnsi" w:hAnsi="Verdana" w:cstheme="minorBidi"/>
                <w:sz w:val="10"/>
                <w:szCs w:val="10"/>
              </w:rPr>
            </w:pPr>
            <w:r w:rsidRPr="00AA0025">
              <w:rPr>
                <w:rFonts w:ascii="Verdana" w:eastAsiaTheme="minorHAnsi" w:hAnsi="Verdana" w:cstheme="minorBidi"/>
                <w:sz w:val="10"/>
                <w:szCs w:val="10"/>
              </w:rPr>
              <w:t>Si el consumo el año 1, es &gt; 80% del total de la cifra regional, coste SNS* 3.329,17 €.</w:t>
            </w:r>
          </w:p>
        </w:tc>
        <w:tc>
          <w:tcPr>
            <w:tcW w:w="473" w:type="dxa"/>
            <w:tcBorders>
              <w:top w:val="nil"/>
              <w:left w:val="nil"/>
              <w:bottom w:val="single" w:sz="8" w:space="0" w:color="auto"/>
              <w:right w:val="single" w:sz="8" w:space="0" w:color="auto"/>
            </w:tcBorders>
            <w:tcMar>
              <w:top w:w="0" w:type="dxa"/>
              <w:left w:w="108" w:type="dxa"/>
              <w:bottom w:w="0" w:type="dxa"/>
              <w:right w:w="108" w:type="dxa"/>
            </w:tcMar>
          </w:tcPr>
          <w:p w:rsidR="00674E9F" w:rsidRPr="00AA0025" w:rsidRDefault="00674E9F" w:rsidP="00674E9F">
            <w:pPr>
              <w:spacing w:after="200" w:line="276" w:lineRule="auto"/>
              <w:rPr>
                <w:rFonts w:ascii="Times New Roman" w:eastAsiaTheme="minorHAnsi" w:hAnsi="Times New Roman" w:cstheme="minorBidi"/>
                <w:sz w:val="10"/>
                <w:szCs w:val="10"/>
              </w:rPr>
            </w:pPr>
          </w:p>
        </w:tc>
        <w:tc>
          <w:tcPr>
            <w:tcW w:w="612" w:type="dxa"/>
            <w:tcBorders>
              <w:top w:val="nil"/>
              <w:left w:val="nil"/>
              <w:bottom w:val="single" w:sz="8" w:space="0" w:color="auto"/>
              <w:right w:val="single" w:sz="8" w:space="0" w:color="auto"/>
            </w:tcBorders>
            <w:tcMar>
              <w:top w:w="0" w:type="dxa"/>
              <w:left w:w="108" w:type="dxa"/>
              <w:bottom w:w="0" w:type="dxa"/>
              <w:right w:w="108" w:type="dxa"/>
            </w:tcMar>
          </w:tcPr>
          <w:p w:rsidR="00674E9F" w:rsidRPr="00AA0025" w:rsidRDefault="00674E9F" w:rsidP="00674E9F">
            <w:pPr>
              <w:spacing w:after="200" w:line="276" w:lineRule="auto"/>
              <w:jc w:val="both"/>
              <w:rPr>
                <w:rFonts w:ascii="Times New Roman" w:eastAsiaTheme="minorHAnsi" w:hAnsi="Times New Roman" w:cstheme="minorBidi"/>
                <w:sz w:val="10"/>
                <w:szCs w:val="10"/>
              </w:rPr>
            </w:pPr>
          </w:p>
        </w:tc>
        <w:tc>
          <w:tcPr>
            <w:tcW w:w="123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both"/>
              <w:rPr>
                <w:rFonts w:ascii="Times New Roman" w:eastAsiaTheme="minorHAnsi" w:hAnsi="Times New Roman" w:cstheme="minorBidi"/>
                <w:sz w:val="10"/>
                <w:szCs w:val="10"/>
              </w:rPr>
            </w:pPr>
            <w:r w:rsidRPr="00AA0025">
              <w:rPr>
                <w:rFonts w:ascii="Verdana" w:eastAsiaTheme="minorHAnsi" w:hAnsi="Verdana" w:cstheme="minorBidi"/>
                <w:sz w:val="10"/>
                <w:szCs w:val="10"/>
              </w:rPr>
              <w:t>Si el consumo el año 2, es ≤ 80% del total de la cifra regional, PVL 3.953,39 €</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both"/>
              <w:rPr>
                <w:rFonts w:ascii="Times New Roman" w:eastAsiaTheme="minorHAnsi" w:hAnsi="Times New Roman" w:cstheme="minorBidi"/>
                <w:sz w:val="10"/>
                <w:szCs w:val="10"/>
              </w:rPr>
            </w:pPr>
            <w:r w:rsidRPr="00AA0025">
              <w:rPr>
                <w:rFonts w:ascii="Verdana" w:eastAsiaTheme="minorHAnsi" w:hAnsi="Verdana" w:cstheme="minorBidi"/>
                <w:sz w:val="10"/>
                <w:szCs w:val="10"/>
              </w:rPr>
              <w:t>Si el consumo el año 2, es &gt; 80% del total de la cifra regional, coste SNS* 3.329,17 €.</w:t>
            </w:r>
          </w:p>
        </w:tc>
        <w:tc>
          <w:tcPr>
            <w:tcW w:w="613" w:type="dxa"/>
            <w:tcBorders>
              <w:top w:val="nil"/>
              <w:left w:val="nil"/>
              <w:bottom w:val="single" w:sz="8" w:space="0" w:color="auto"/>
              <w:right w:val="single" w:sz="8" w:space="0" w:color="auto"/>
            </w:tcBorders>
            <w:tcMar>
              <w:top w:w="0" w:type="dxa"/>
              <w:left w:w="108" w:type="dxa"/>
              <w:bottom w:w="0" w:type="dxa"/>
              <w:right w:w="108" w:type="dxa"/>
            </w:tcMar>
          </w:tcPr>
          <w:p w:rsidR="00674E9F" w:rsidRPr="00AA0025" w:rsidRDefault="00674E9F" w:rsidP="00674E9F">
            <w:pPr>
              <w:spacing w:after="200" w:line="276" w:lineRule="auto"/>
              <w:rPr>
                <w:rFonts w:ascii="Times New Roman" w:eastAsiaTheme="minorHAnsi" w:hAnsi="Times New Roman" w:cstheme="minorBidi"/>
                <w:sz w:val="10"/>
                <w:szCs w:val="10"/>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674E9F" w:rsidRPr="00AA0025" w:rsidRDefault="00674E9F" w:rsidP="00674E9F">
            <w:pPr>
              <w:spacing w:after="200" w:line="276" w:lineRule="auto"/>
              <w:rPr>
                <w:rFonts w:ascii="Times New Roman" w:eastAsiaTheme="minorHAnsi" w:hAnsi="Times New Roman" w:cstheme="minorBidi"/>
                <w:sz w:val="10"/>
                <w:szCs w:val="10"/>
              </w:rPr>
            </w:pPr>
          </w:p>
        </w:tc>
      </w:tr>
      <w:tr w:rsidR="00AA0025" w:rsidRPr="00AA0025" w:rsidTr="00674E9F">
        <w:trPr>
          <w:trHeight w:val="29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4E9F" w:rsidRPr="00AA0025" w:rsidRDefault="00674E9F" w:rsidP="00674E9F">
            <w:pPr>
              <w:spacing w:after="200" w:line="276" w:lineRule="auto"/>
              <w:rPr>
                <w:rFonts w:ascii="Verdana" w:eastAsiaTheme="minorHAnsi" w:hAnsi="Verdana" w:cs="Calibri"/>
                <w:sz w:val="10"/>
                <w:szCs w:val="10"/>
              </w:rPr>
            </w:pP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Envases</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PVL</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Envases</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Coste SNS*</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Envases</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PVL</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Envases</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Coste SNS*</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Envases</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Coste SNS*</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Envases</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PVL</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Envases</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Coste SNS*</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Envases</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Coste SNS*</w:t>
            </w:r>
          </w:p>
        </w:tc>
      </w:tr>
      <w:tr w:rsidR="00AA0025" w:rsidRPr="00AA0025" w:rsidTr="00674E9F">
        <w:trPr>
          <w:trHeight w:val="28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Andalucía</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0-76</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76</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0-213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0-213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213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0-460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0-460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 460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9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Cataluña</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0-70</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70</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0-196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0-196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196</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0-422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0-422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&gt;422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8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Madrid</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0-61</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61</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0-170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0-170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170</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0-367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0-367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&gt;367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38"/>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Comunidad Valenciana</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0-45</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45</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0-127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0-127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127</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0-275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0-275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&gt;275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4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Galicia</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0-24</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24</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0-68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0-68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68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0-146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0-146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&gt;146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6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Castilla y León</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0-21</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21</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0-60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0-60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60</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0-129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0-129</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&gt;129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8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País Vasco</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0-20</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20</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0-56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0-56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56</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0-120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0-120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&gt;120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9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Canarias</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0-19</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19</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0-55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0-55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55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0-118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0-118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&gt;118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30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Castilla-La Mancha</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0-18</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18</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0-52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0-52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52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0-111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0-111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&gt;111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9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Murcia</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0-14</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14</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0-38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0-38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38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0-82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0-82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&gt;82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8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Aragón</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0-12</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12</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33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0-72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0-72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&gt;72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9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Islas Baleares</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0-11</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11</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30</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0-64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0-64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&gt;64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8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Extremadura</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0-10</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10</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0-27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0-27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27</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0-58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0-58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&gt;58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9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Asturias</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0-9</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9</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0-25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0-25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25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0-55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0-55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&gt;55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8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Navarra</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0-6</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6</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17</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0-36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0-36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&gt;36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9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Cantabria</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0-5</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5</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15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0-32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0-32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&gt;32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8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lastRenderedPageBreak/>
              <w:t>La Rioja</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0-3</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3</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0-17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0-17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&gt;17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9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Melilla</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1</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0-5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r w:rsidR="00AA0025" w:rsidRPr="00AA0025" w:rsidTr="00674E9F">
        <w:trPr>
          <w:trHeight w:val="29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b/>
                <w:bCs/>
                <w:sz w:val="10"/>
                <w:szCs w:val="10"/>
              </w:rPr>
            </w:pPr>
            <w:r w:rsidRPr="00AA0025">
              <w:rPr>
                <w:rFonts w:ascii="Verdana" w:eastAsiaTheme="minorHAnsi" w:hAnsi="Verdana" w:cstheme="minorBidi"/>
                <w:b/>
                <w:bCs/>
                <w:sz w:val="10"/>
                <w:szCs w:val="10"/>
              </w:rPr>
              <w:t>Ceuta</w:t>
            </w:r>
          </w:p>
        </w:tc>
        <w:tc>
          <w:tcPr>
            <w:tcW w:w="70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0-1</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8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1</w:t>
            </w:r>
          </w:p>
        </w:tc>
        <w:tc>
          <w:tcPr>
            <w:tcW w:w="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1.562,50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3.329,17</w:t>
            </w:r>
          </w:p>
        </w:tc>
        <w:tc>
          <w:tcPr>
            <w:tcW w:w="47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theme="minorBidi"/>
                <w:sz w:val="10"/>
                <w:szCs w:val="10"/>
              </w:rPr>
            </w:pPr>
            <w:r w:rsidRPr="00AA0025">
              <w:rPr>
                <w:rFonts w:ascii="Verdana" w:eastAsiaTheme="minorHAnsi" w:hAnsi="Verdana" w:cstheme="minorBidi"/>
                <w:sz w:val="10"/>
                <w:szCs w:val="10"/>
              </w:rPr>
              <w:t>&gt; 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3.953,39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0-5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3.329,17</w:t>
            </w:r>
          </w:p>
        </w:tc>
        <w:tc>
          <w:tcPr>
            <w:tcW w:w="613"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Verdana" w:eastAsiaTheme="minorHAnsi" w:hAnsi="Verdana" w:cs="Calibri"/>
                <w:sz w:val="10"/>
                <w:szCs w:val="10"/>
              </w:rPr>
            </w:pPr>
            <w:r w:rsidRPr="00AA0025">
              <w:rPr>
                <w:rFonts w:ascii="Verdana" w:eastAsiaTheme="minorHAnsi" w:hAnsi="Verdana" w:cstheme="minorBidi"/>
                <w:sz w:val="10"/>
                <w:szCs w:val="10"/>
              </w:rPr>
              <w:t>&gt;5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74E9F" w:rsidRPr="00AA0025" w:rsidRDefault="00674E9F" w:rsidP="00674E9F">
            <w:pPr>
              <w:spacing w:after="200" w:line="276" w:lineRule="auto"/>
              <w:jc w:val="center"/>
              <w:rPr>
                <w:rFonts w:ascii="Times New Roman" w:eastAsiaTheme="minorHAnsi" w:hAnsi="Times New Roman" w:cstheme="minorBidi"/>
                <w:sz w:val="10"/>
                <w:szCs w:val="10"/>
              </w:rPr>
            </w:pPr>
            <w:r w:rsidRPr="00AA0025">
              <w:rPr>
                <w:rFonts w:ascii="Verdana" w:eastAsiaTheme="minorHAnsi" w:hAnsi="Verdana" w:cstheme="minorBidi"/>
                <w:sz w:val="10"/>
                <w:szCs w:val="10"/>
              </w:rPr>
              <w:t>1.562,50</w:t>
            </w:r>
          </w:p>
        </w:tc>
      </w:tr>
    </w:tbl>
    <w:p w:rsidR="008A096C" w:rsidRPr="00AA0025" w:rsidRDefault="008A096C" w:rsidP="008A096C">
      <w:pPr>
        <w:jc w:val="both"/>
        <w:rPr>
          <w:rFonts w:asciiTheme="minorHAnsi" w:eastAsia="Times New Roman" w:hAnsiTheme="minorHAnsi" w:cs="Arial"/>
          <w:b/>
          <w:u w:val="single"/>
          <w:lang w:eastAsia="es-ES"/>
        </w:rPr>
      </w:pPr>
    </w:p>
    <w:p w:rsidR="00136BFF" w:rsidRPr="00AA0025" w:rsidRDefault="00136BFF" w:rsidP="00136BFF">
      <w:pPr>
        <w:pStyle w:val="Prrafodelista"/>
        <w:numPr>
          <w:ilvl w:val="0"/>
          <w:numId w:val="19"/>
        </w:numPr>
        <w:jc w:val="both"/>
        <w:rPr>
          <w:rFonts w:asciiTheme="minorHAnsi" w:eastAsia="Times New Roman" w:hAnsiTheme="minorHAnsi" w:cs="Arial"/>
          <w:b/>
          <w:u w:val="single"/>
          <w:lang w:eastAsia="es-ES"/>
        </w:rPr>
      </w:pPr>
      <w:r w:rsidRPr="00AA0025">
        <w:rPr>
          <w:rFonts w:asciiTheme="minorHAnsi" w:eastAsia="Times New Roman" w:hAnsiTheme="minorHAnsi" w:cs="Arial"/>
          <w:b/>
          <w:u w:val="single"/>
          <w:lang w:eastAsia="es-ES"/>
        </w:rPr>
        <w:t>MODIFICACIÓN EN LAS CONDICIONES DE PRESCRIPCIÓN Y DISPENSACIÓN</w:t>
      </w:r>
    </w:p>
    <w:p w:rsidR="00136BFF" w:rsidRPr="00AA0025" w:rsidRDefault="00136BFF" w:rsidP="00136BFF">
      <w:pPr>
        <w:jc w:val="both"/>
        <w:rPr>
          <w:rFonts w:ascii="Arial" w:eastAsia="Times New Roman" w:hAnsi="Arial" w:cs="Arial"/>
          <w:b/>
          <w:lang w:eastAsia="es-ES"/>
        </w:rPr>
      </w:pPr>
    </w:p>
    <w:p w:rsidR="00136BFF" w:rsidRPr="00AA0025" w:rsidRDefault="00136BFF" w:rsidP="00136BFF">
      <w:pPr>
        <w:pStyle w:val="Prrafodelista"/>
        <w:numPr>
          <w:ilvl w:val="0"/>
          <w:numId w:val="18"/>
        </w:numPr>
        <w:autoSpaceDE w:val="0"/>
        <w:autoSpaceDN w:val="0"/>
        <w:adjustRightInd w:val="0"/>
        <w:ind w:left="709"/>
        <w:jc w:val="both"/>
        <w:rPr>
          <w:b/>
          <w:u w:val="single"/>
        </w:rPr>
      </w:pPr>
      <w:r w:rsidRPr="00AA0025">
        <w:rPr>
          <w:rFonts w:asciiTheme="minorHAnsi" w:hAnsiTheme="minorHAnsi" w:cs="Arial"/>
        </w:rPr>
        <w:t xml:space="preserve">Esta Dirección General ha resuelto el cambio en las condiciones de prescripción y dispensación de los siguientes </w:t>
      </w:r>
      <w:r w:rsidRPr="00AA0025">
        <w:rPr>
          <w:rFonts w:asciiTheme="minorHAnsi" w:hAnsiTheme="minorHAnsi" w:cs="Arial"/>
          <w:u w:val="single"/>
        </w:rPr>
        <w:t>medicamentos de Diagnóstico Hospitalario</w:t>
      </w:r>
      <w:r w:rsidRPr="00AA0025">
        <w:rPr>
          <w:rFonts w:asciiTheme="minorHAnsi" w:hAnsiTheme="minorHAnsi" w:cs="Arial"/>
        </w:rPr>
        <w:t xml:space="preserve"> (</w:t>
      </w:r>
      <w:r w:rsidRPr="00AA0025">
        <w:rPr>
          <w:rFonts w:asciiTheme="minorHAnsi" w:hAnsiTheme="minorHAnsi" w:cs="Arial"/>
          <w:b/>
        </w:rPr>
        <w:t xml:space="preserve">Ácido </w:t>
      </w:r>
      <w:proofErr w:type="spellStart"/>
      <w:r w:rsidRPr="00AA0025">
        <w:rPr>
          <w:rFonts w:asciiTheme="minorHAnsi" w:hAnsiTheme="minorHAnsi" w:cs="Arial"/>
          <w:b/>
        </w:rPr>
        <w:t>micofenólico</w:t>
      </w:r>
      <w:proofErr w:type="spellEnd"/>
      <w:r w:rsidRPr="00AA0025">
        <w:rPr>
          <w:rFonts w:asciiTheme="minorHAnsi" w:hAnsiTheme="minorHAnsi" w:cs="Arial"/>
          <w:b/>
        </w:rPr>
        <w:t xml:space="preserve">, </w:t>
      </w:r>
      <w:proofErr w:type="spellStart"/>
      <w:r w:rsidRPr="00AA0025">
        <w:rPr>
          <w:rFonts w:asciiTheme="minorHAnsi" w:hAnsiTheme="minorHAnsi" w:cs="Arial"/>
          <w:b/>
        </w:rPr>
        <w:t>Everolimus</w:t>
      </w:r>
      <w:proofErr w:type="spellEnd"/>
      <w:r w:rsidRPr="00AA0025">
        <w:rPr>
          <w:rFonts w:asciiTheme="minorHAnsi" w:hAnsiTheme="minorHAnsi" w:cs="Arial"/>
          <w:b/>
        </w:rPr>
        <w:t xml:space="preserve"> y </w:t>
      </w:r>
      <w:proofErr w:type="spellStart"/>
      <w:r w:rsidRPr="00AA0025">
        <w:rPr>
          <w:rFonts w:asciiTheme="minorHAnsi" w:hAnsiTheme="minorHAnsi" w:cs="Arial"/>
          <w:b/>
        </w:rPr>
        <w:t>Sirolimus</w:t>
      </w:r>
      <w:proofErr w:type="spellEnd"/>
      <w:r w:rsidRPr="00AA0025">
        <w:rPr>
          <w:rFonts w:asciiTheme="minorHAnsi" w:hAnsiTheme="minorHAnsi" w:cs="Arial"/>
        </w:rPr>
        <w:t xml:space="preserve">) en el sentido de suprimir las reservas singulares, consistente en la </w:t>
      </w:r>
      <w:r w:rsidRPr="00AA0025">
        <w:rPr>
          <w:rFonts w:asciiTheme="minorHAnsi" w:hAnsiTheme="minorHAnsi" w:cs="Arial"/>
          <w:b/>
          <w:u w:val="single"/>
        </w:rPr>
        <w:t>retirada del visado de inspección.</w:t>
      </w:r>
      <w:r w:rsidRPr="00AA0025">
        <w:rPr>
          <w:rFonts w:asciiTheme="minorHAnsi" w:hAnsiTheme="minorHAnsi" w:cs="Arial"/>
        </w:rPr>
        <w:t xml:space="preserve"> </w:t>
      </w:r>
    </w:p>
    <w:p w:rsidR="00136BFF" w:rsidRPr="00AA0025" w:rsidRDefault="00136BFF" w:rsidP="00136BFF">
      <w:pPr>
        <w:pStyle w:val="Prrafodelista"/>
        <w:numPr>
          <w:ilvl w:val="0"/>
          <w:numId w:val="18"/>
        </w:numPr>
        <w:autoSpaceDE w:val="0"/>
        <w:autoSpaceDN w:val="0"/>
        <w:adjustRightInd w:val="0"/>
        <w:ind w:left="709"/>
        <w:jc w:val="both"/>
        <w:rPr>
          <w:rFonts w:asciiTheme="minorHAnsi" w:hAnsiTheme="minorHAnsi" w:cstheme="minorHAnsi"/>
          <w:b/>
          <w:u w:val="single"/>
        </w:rPr>
      </w:pPr>
      <w:r w:rsidRPr="00AA0025">
        <w:rPr>
          <w:rFonts w:asciiTheme="minorHAnsi" w:eastAsiaTheme="minorHAnsi" w:hAnsiTheme="minorHAnsi" w:cstheme="minorHAnsi"/>
        </w:rPr>
        <w:t xml:space="preserve">Se informa a los efectos correspondientes, </w:t>
      </w:r>
      <w:r w:rsidRPr="00AA0025">
        <w:rPr>
          <w:rFonts w:asciiTheme="minorHAnsi" w:eastAsiaTheme="minorHAnsi" w:hAnsiTheme="minorHAnsi" w:cstheme="minorHAnsi"/>
          <w:u w:val="single"/>
        </w:rPr>
        <w:t xml:space="preserve">que el referido cambio en las condiciones de prescripción y dispensación se hará efectivo </w:t>
      </w:r>
      <w:r w:rsidRPr="00AA0025">
        <w:rPr>
          <w:rFonts w:asciiTheme="minorHAnsi" w:eastAsiaTheme="minorHAnsi" w:hAnsiTheme="minorHAnsi" w:cstheme="minorHAnsi"/>
          <w:b/>
          <w:u w:val="single"/>
        </w:rPr>
        <w:t>a partir del día 1 de septiembre de 2024</w:t>
      </w:r>
      <w:r w:rsidRPr="00AA0025">
        <w:rPr>
          <w:rFonts w:asciiTheme="minorHAnsi" w:eastAsiaTheme="minorHAnsi" w:hAnsiTheme="minorHAnsi" w:cstheme="minorHAnsi"/>
          <w:u w:val="single"/>
        </w:rPr>
        <w:t>.</w:t>
      </w:r>
    </w:p>
    <w:p w:rsidR="00136BFF" w:rsidRPr="00AA0025" w:rsidRDefault="00136BFF" w:rsidP="00136BFF">
      <w:pPr>
        <w:jc w:val="both"/>
        <w:rPr>
          <w:rFonts w:asciiTheme="minorHAnsi" w:hAnsiTheme="minorHAnsi" w:cs="Arial"/>
        </w:rPr>
      </w:pPr>
    </w:p>
    <w:tbl>
      <w:tblPr>
        <w:tblW w:w="8505" w:type="dxa"/>
        <w:tblInd w:w="988" w:type="dxa"/>
        <w:tblCellMar>
          <w:left w:w="70" w:type="dxa"/>
          <w:right w:w="70" w:type="dxa"/>
        </w:tblCellMar>
        <w:tblLook w:val="04A0" w:firstRow="1" w:lastRow="0" w:firstColumn="1" w:lastColumn="0" w:noHBand="0" w:noVBand="1"/>
      </w:tblPr>
      <w:tblGrid>
        <w:gridCol w:w="1417"/>
        <w:gridCol w:w="1559"/>
        <w:gridCol w:w="993"/>
        <w:gridCol w:w="4536"/>
      </w:tblGrid>
      <w:tr w:rsidR="00AA0025" w:rsidRPr="00AA0025" w:rsidTr="00C01C3D">
        <w:trPr>
          <w:trHeight w:val="260"/>
        </w:trPr>
        <w:tc>
          <w:tcPr>
            <w:tcW w:w="1417"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rsidR="00136BFF" w:rsidRPr="00AA0025" w:rsidRDefault="00136BFF" w:rsidP="00C01C3D">
            <w:pPr>
              <w:jc w:val="center"/>
              <w:rPr>
                <w:rFonts w:eastAsia="Times New Roman" w:cs="Calibri"/>
                <w:b/>
                <w:bCs/>
                <w:sz w:val="18"/>
                <w:szCs w:val="18"/>
                <w:lang w:eastAsia="es-ES"/>
              </w:rPr>
            </w:pPr>
            <w:r w:rsidRPr="00AA0025">
              <w:rPr>
                <w:rFonts w:eastAsia="Times New Roman" w:cs="Calibri"/>
                <w:b/>
                <w:bCs/>
                <w:sz w:val="18"/>
                <w:szCs w:val="18"/>
                <w:lang w:eastAsia="es-ES"/>
              </w:rPr>
              <w:t>Grupo ATC</w:t>
            </w:r>
          </w:p>
        </w:tc>
        <w:tc>
          <w:tcPr>
            <w:tcW w:w="1559" w:type="dxa"/>
            <w:tcBorders>
              <w:top w:val="single" w:sz="4" w:space="0" w:color="auto"/>
              <w:left w:val="nil"/>
              <w:bottom w:val="single" w:sz="4" w:space="0" w:color="auto"/>
              <w:right w:val="single" w:sz="4" w:space="0" w:color="auto"/>
            </w:tcBorders>
            <w:shd w:val="clear" w:color="FFFFFF" w:fill="BFBFBF"/>
            <w:vAlign w:val="center"/>
            <w:hideMark/>
          </w:tcPr>
          <w:p w:rsidR="00136BFF" w:rsidRPr="00AA0025" w:rsidRDefault="00136BFF" w:rsidP="00C01C3D">
            <w:pPr>
              <w:jc w:val="center"/>
              <w:rPr>
                <w:rFonts w:eastAsia="Times New Roman" w:cs="Calibri"/>
                <w:b/>
                <w:bCs/>
                <w:sz w:val="18"/>
                <w:szCs w:val="18"/>
                <w:lang w:eastAsia="es-ES"/>
              </w:rPr>
            </w:pPr>
            <w:r w:rsidRPr="00AA0025">
              <w:rPr>
                <w:rFonts w:eastAsia="Times New Roman" w:cs="Calibri"/>
                <w:b/>
                <w:bCs/>
                <w:sz w:val="18"/>
                <w:szCs w:val="18"/>
                <w:lang w:eastAsia="es-ES"/>
              </w:rPr>
              <w:t>Principio activo</w:t>
            </w:r>
          </w:p>
        </w:tc>
        <w:tc>
          <w:tcPr>
            <w:tcW w:w="993" w:type="dxa"/>
            <w:tcBorders>
              <w:top w:val="single" w:sz="4" w:space="0" w:color="auto"/>
              <w:left w:val="nil"/>
              <w:bottom w:val="single" w:sz="4" w:space="0" w:color="auto"/>
              <w:right w:val="single" w:sz="4" w:space="0" w:color="auto"/>
            </w:tcBorders>
            <w:shd w:val="clear" w:color="FFFFFF" w:fill="BFBFBF"/>
            <w:noWrap/>
            <w:vAlign w:val="center"/>
            <w:hideMark/>
          </w:tcPr>
          <w:p w:rsidR="00136BFF" w:rsidRPr="00AA0025" w:rsidRDefault="00136BFF" w:rsidP="00C01C3D">
            <w:pPr>
              <w:jc w:val="center"/>
              <w:rPr>
                <w:rFonts w:eastAsia="Times New Roman" w:cs="Calibri"/>
                <w:b/>
                <w:bCs/>
                <w:sz w:val="18"/>
                <w:szCs w:val="18"/>
                <w:lang w:eastAsia="es-ES"/>
              </w:rPr>
            </w:pPr>
            <w:r w:rsidRPr="00AA0025">
              <w:rPr>
                <w:rFonts w:eastAsia="Times New Roman" w:cs="Calibri"/>
                <w:b/>
                <w:bCs/>
                <w:sz w:val="18"/>
                <w:szCs w:val="18"/>
                <w:lang w:eastAsia="es-ES"/>
              </w:rPr>
              <w:t>CN</w:t>
            </w:r>
          </w:p>
        </w:tc>
        <w:tc>
          <w:tcPr>
            <w:tcW w:w="4536" w:type="dxa"/>
            <w:tcBorders>
              <w:top w:val="single" w:sz="4" w:space="0" w:color="auto"/>
              <w:left w:val="nil"/>
              <w:bottom w:val="single" w:sz="4" w:space="0" w:color="auto"/>
              <w:right w:val="single" w:sz="4" w:space="0" w:color="auto"/>
            </w:tcBorders>
            <w:shd w:val="clear" w:color="FFFFFF" w:fill="BFBFBF"/>
            <w:vAlign w:val="center"/>
            <w:hideMark/>
          </w:tcPr>
          <w:p w:rsidR="00136BFF" w:rsidRPr="00AA0025" w:rsidRDefault="00136BFF" w:rsidP="00C01C3D">
            <w:pPr>
              <w:jc w:val="center"/>
              <w:rPr>
                <w:rFonts w:eastAsia="Times New Roman" w:cs="Calibri"/>
                <w:b/>
                <w:bCs/>
                <w:sz w:val="18"/>
                <w:szCs w:val="18"/>
                <w:lang w:eastAsia="es-ES"/>
              </w:rPr>
            </w:pPr>
            <w:r w:rsidRPr="00AA0025">
              <w:rPr>
                <w:rFonts w:eastAsia="Times New Roman" w:cs="Calibri"/>
                <w:b/>
                <w:bCs/>
                <w:sz w:val="18"/>
                <w:szCs w:val="18"/>
                <w:lang w:eastAsia="es-ES"/>
              </w:rPr>
              <w:t>Nombre</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705265</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ACIDO MICOFENOLICO STADA 180MG 100 COMPRIMIDOS GASTRORRESISTENTES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705266</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ACIDO MICOFENOLICO STADA  360MG 50 COMPRIMIDOS GASTRORRESISTENTES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771022</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CELLCEPT 1G/5ML 1 FRASCO 110G POLVO PARA SUSP ORAL</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679381</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CELLCEPT 250MG 100 CAPSULAS</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679373</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CELLCEPT 500MG 50 COMPRIMIDOS</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725107</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CELLCEPT 500MG 50 COMPRIMIDOS RECUBIERTOS CON PELICULA</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728915</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CELLCEPT 500MG 50 COMPRIMIDOS RECUBIERTOS CON PELICULA</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739026</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CELLCEPT 500MG 50 COMPRIMIDOS RECUBIERTOS CON PELICULA</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749367</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CELLCEPT 500MG 50 COMPRIMIDOS RECUBIERTOS CON PELICULA</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714114</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CEPTAVA 180MG 100 COMPRIMIDOS GASTRORRESISTENTES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714122</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CEPTAVA 360MG 50 COMPRIMIDOS GASTRORRESISTENTES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663248</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DE MOFETILO STADA 500MG 50 COMPRIM RECUB PELIC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669209</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DE MOFETILO ACCORD 250MG 100 CAPSULAS DURAS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672567</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MOFETILO ACCORD 500MG 50 COMPRIMIDOS RECUB PELIC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704622</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DE MOFETILO ARISTO 250MG 100 CAPSULAS DURAS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704620</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DE MOFETILO ARISTO 500MG 50 COMPRIM RECUB PELIC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672281</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MOFETILO AUROVITAS SPAIN 500MG 50 COMPRIM RECUB PELIC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lastRenderedPageBreak/>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707835</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DE MOFETILO CINFA 250MG 100 COMPRIMIDOS RECUB PEL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707836</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DE MOFETILO CINFA 500MG 50 COMPRIMIDOS RECUB PEL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676435</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DE MOFETILO GENESIS 500MG 50 COMPR RECUB PELIC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683032</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DE MOFETILO KERN PHARMA 500MG 50 COMPR RECUB PEL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651464</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DE MOFETILO SANDOZ 250MG 100 CAPSULAS DURAS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651472</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DE MOFETILO SANDOZ 500MG 50 COMPRIM RECUB PELIC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691756</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DE MOFETILO TECNIGEN 500MG 50 COMPRIMID RECUB PELIC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724295</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DE MOFETILO TILLOMED 250MG 100 CAPSULAS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721385</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DE MOFETILO TILLOMED 500MG 50 COMPRIM RECUB PELIC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680417</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MOFETILO NORMON 250MG 100 COMPRIMID RECUB PELIC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680418</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MOFETILO NORMON 500MG 50 COMPRIMIDOS RECUB PELIC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663258</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MOFETILO TEVA 250MG 100 CAPSULAS DURAS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663257</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MICOFENOLATO MOFETILO TEVA 500MG 50 COMPRIMIDOS RECUBIERT PELIC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700470</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MYFENAX 250MG 100 X 1 CAPSULAS DURAS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673076</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MYFENAX 250MG 100 CAPSULAS DURAS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673077</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MYFENAX 500MG 50 COMPRIMIDOS RECUBIERTOS CON PELICULA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700471</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MYFENAX 500MG 50 X 1 COMPRIMIDOS RECUBIERTOS CON PELICULA EFG</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724500</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MYFORTIC 180MG 100 COMPRIMIDOS GASTRORRESISTENTES</w:t>
            </w:r>
          </w:p>
        </w:tc>
      </w:tr>
      <w:tr w:rsidR="00AA0025" w:rsidRPr="00AA0025" w:rsidTr="00C01C3D">
        <w:trPr>
          <w:trHeight w:val="48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L04AA06</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ÁCIDO MICOFENÓLICO</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724617</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MYFORTIC 360MG 50 COMPRIMIDOS GASTRORRESISTENTES</w:t>
            </w:r>
          </w:p>
        </w:tc>
      </w:tr>
      <w:tr w:rsidR="00AA0025" w:rsidRPr="00AA0025" w:rsidTr="00C01C3D">
        <w:trPr>
          <w:trHeight w:val="26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L04AH01</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SIROLIMUS</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665876</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RAPAMUNE 0,5MG 30 COMPRIMIDOS RECUBIERTOS</w:t>
            </w:r>
          </w:p>
        </w:tc>
      </w:tr>
      <w:tr w:rsidR="00AA0025" w:rsidRPr="00AA0025" w:rsidTr="00C01C3D">
        <w:trPr>
          <w:trHeight w:val="26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L04AH01</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SIROLIMUS</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948919</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RAPAMUNE 1MG 100 COMPRIMIDOS RECUBIERTOS</w:t>
            </w:r>
          </w:p>
        </w:tc>
      </w:tr>
      <w:tr w:rsidR="00AA0025" w:rsidRPr="00AA0025" w:rsidTr="00C01C3D">
        <w:trPr>
          <w:trHeight w:val="26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L04AH01</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SIROLIMUS</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876029</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RAPAMUNE 1MG/ML 1 FRASCO 60ML SOLUCION ORAL</w:t>
            </w:r>
          </w:p>
        </w:tc>
      </w:tr>
      <w:tr w:rsidR="00AA0025" w:rsidRPr="00AA0025" w:rsidTr="00C01C3D">
        <w:trPr>
          <w:trHeight w:val="26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L04AH01</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SIROLIMUS</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724534</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RAPAMUNE 2MG 30 COMPRIMIDOS RECUBIERTOS</w:t>
            </w:r>
          </w:p>
        </w:tc>
      </w:tr>
      <w:tr w:rsidR="00AA0025" w:rsidRPr="00AA0025" w:rsidTr="00C01C3D">
        <w:trPr>
          <w:trHeight w:val="26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L04AH02</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EVEROLIMUS</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700531</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CERTICAN 0,1MG 60 COMPRIMIDOS DISPERSABLES</w:t>
            </w:r>
          </w:p>
        </w:tc>
      </w:tr>
      <w:tr w:rsidR="00AA0025" w:rsidRPr="00AA0025" w:rsidTr="00C01C3D">
        <w:trPr>
          <w:trHeight w:val="26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L04AH02</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EVEROLIMUS</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700525</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CERTICAN 0,25MG 60 COMPRIMIDOS</w:t>
            </w:r>
          </w:p>
        </w:tc>
      </w:tr>
      <w:tr w:rsidR="00AA0025" w:rsidRPr="00AA0025" w:rsidTr="00C01C3D">
        <w:trPr>
          <w:trHeight w:val="26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L04AH02</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EVEROLIMUS</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700527</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CERTICAN 0,25MG 60 COMPRIMIDOS DISPERSABLES</w:t>
            </w:r>
          </w:p>
        </w:tc>
      </w:tr>
      <w:tr w:rsidR="00AA0025" w:rsidRPr="00AA0025" w:rsidTr="00C01C3D">
        <w:trPr>
          <w:trHeight w:val="26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L04AH02</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EVEROLIMUS</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700528</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CERTICAN 0,5MG 60 COMPRIMIDOS</w:t>
            </w:r>
          </w:p>
        </w:tc>
      </w:tr>
      <w:tr w:rsidR="00AA0025" w:rsidRPr="00AA0025" w:rsidTr="00C01C3D">
        <w:trPr>
          <w:trHeight w:val="26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L04AH02</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EVEROLIMUS</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700529</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CERTICAN 0,75MG 60 COMPRIMIDOS</w:t>
            </w:r>
          </w:p>
        </w:tc>
      </w:tr>
      <w:tr w:rsidR="00AA0025" w:rsidRPr="00AA0025" w:rsidTr="00C01C3D">
        <w:trPr>
          <w:trHeight w:val="260"/>
        </w:trPr>
        <w:tc>
          <w:tcPr>
            <w:tcW w:w="1417" w:type="dxa"/>
            <w:tcBorders>
              <w:top w:val="nil"/>
              <w:left w:val="single" w:sz="4" w:space="0" w:color="auto"/>
              <w:bottom w:val="single" w:sz="4" w:space="0" w:color="auto"/>
              <w:right w:val="single" w:sz="4" w:space="0" w:color="auto"/>
            </w:tcBorders>
            <w:shd w:val="clear" w:color="FFFFFF" w:fill="FFFFFF"/>
            <w:noWrap/>
            <w:vAlign w:val="bottom"/>
            <w:hideMark/>
          </w:tcPr>
          <w:p w:rsidR="00136BFF" w:rsidRPr="00AA0025" w:rsidRDefault="00136BFF" w:rsidP="00C01C3D">
            <w:pPr>
              <w:ind w:right="-850"/>
              <w:rPr>
                <w:rFonts w:eastAsia="Times New Roman" w:cs="Calibri"/>
                <w:sz w:val="18"/>
                <w:szCs w:val="18"/>
                <w:lang w:eastAsia="es-ES"/>
              </w:rPr>
            </w:pPr>
            <w:r w:rsidRPr="00AA0025">
              <w:rPr>
                <w:rFonts w:eastAsia="Times New Roman" w:cs="Calibri"/>
                <w:sz w:val="18"/>
                <w:szCs w:val="18"/>
                <w:lang w:eastAsia="es-ES"/>
              </w:rPr>
              <w:t>L04AH02</w:t>
            </w:r>
          </w:p>
        </w:tc>
        <w:tc>
          <w:tcPr>
            <w:tcW w:w="1559"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EVEROLIMUS</w:t>
            </w:r>
          </w:p>
        </w:tc>
        <w:tc>
          <w:tcPr>
            <w:tcW w:w="993" w:type="dxa"/>
            <w:tcBorders>
              <w:top w:val="nil"/>
              <w:left w:val="nil"/>
              <w:bottom w:val="single" w:sz="4" w:space="0" w:color="auto"/>
              <w:right w:val="single" w:sz="4" w:space="0" w:color="auto"/>
            </w:tcBorders>
            <w:shd w:val="clear" w:color="FFFFFF" w:fill="FFFFFF"/>
            <w:noWrap/>
            <w:vAlign w:val="bottom"/>
            <w:hideMark/>
          </w:tcPr>
          <w:p w:rsidR="00136BFF" w:rsidRPr="00AA0025" w:rsidRDefault="00136BFF" w:rsidP="00C01C3D">
            <w:pPr>
              <w:jc w:val="center"/>
              <w:rPr>
                <w:rFonts w:eastAsia="Times New Roman" w:cs="Calibri"/>
                <w:sz w:val="18"/>
                <w:szCs w:val="18"/>
                <w:lang w:eastAsia="es-ES"/>
              </w:rPr>
            </w:pPr>
            <w:r w:rsidRPr="00AA0025">
              <w:rPr>
                <w:rFonts w:eastAsia="Times New Roman" w:cs="Calibri"/>
                <w:sz w:val="18"/>
                <w:szCs w:val="18"/>
                <w:lang w:eastAsia="es-ES"/>
              </w:rPr>
              <w:t>700530</w:t>
            </w:r>
          </w:p>
        </w:tc>
        <w:tc>
          <w:tcPr>
            <w:tcW w:w="4536" w:type="dxa"/>
            <w:tcBorders>
              <w:top w:val="nil"/>
              <w:left w:val="nil"/>
              <w:bottom w:val="single" w:sz="4" w:space="0" w:color="auto"/>
              <w:right w:val="single" w:sz="4" w:space="0" w:color="auto"/>
            </w:tcBorders>
            <w:shd w:val="clear" w:color="FFFFFF" w:fill="FFFFFF"/>
            <w:vAlign w:val="bottom"/>
            <w:hideMark/>
          </w:tcPr>
          <w:p w:rsidR="00136BFF" w:rsidRPr="00AA0025" w:rsidRDefault="00136BFF" w:rsidP="00C01C3D">
            <w:pPr>
              <w:rPr>
                <w:rFonts w:eastAsia="Times New Roman" w:cs="Calibri"/>
                <w:sz w:val="18"/>
                <w:szCs w:val="18"/>
                <w:lang w:eastAsia="es-ES"/>
              </w:rPr>
            </w:pPr>
            <w:r w:rsidRPr="00AA0025">
              <w:rPr>
                <w:rFonts w:eastAsia="Times New Roman" w:cs="Calibri"/>
                <w:sz w:val="18"/>
                <w:szCs w:val="18"/>
                <w:lang w:eastAsia="es-ES"/>
              </w:rPr>
              <w:t>CERTICAN 1MG 60 COMPRIMIDOS</w:t>
            </w:r>
          </w:p>
        </w:tc>
      </w:tr>
    </w:tbl>
    <w:p w:rsidR="00136BFF" w:rsidRPr="00AA0025" w:rsidRDefault="00136BFF" w:rsidP="00136BFF">
      <w:pPr>
        <w:jc w:val="both"/>
        <w:rPr>
          <w:rFonts w:asciiTheme="minorHAnsi" w:hAnsiTheme="minorHAnsi" w:cs="Arial"/>
        </w:rPr>
      </w:pPr>
    </w:p>
    <w:p w:rsidR="00136BFF" w:rsidRPr="00AA0025" w:rsidRDefault="00136BFF" w:rsidP="00136BFF">
      <w:pPr>
        <w:pStyle w:val="Prrafodelista"/>
        <w:numPr>
          <w:ilvl w:val="0"/>
          <w:numId w:val="18"/>
        </w:numPr>
        <w:autoSpaceDE w:val="0"/>
        <w:autoSpaceDN w:val="0"/>
        <w:adjustRightInd w:val="0"/>
        <w:ind w:left="709"/>
        <w:jc w:val="both"/>
        <w:rPr>
          <w:rFonts w:asciiTheme="minorHAnsi" w:eastAsiaTheme="minorHAnsi" w:hAnsiTheme="minorHAnsi" w:cstheme="minorHAnsi"/>
        </w:rPr>
      </w:pPr>
      <w:r w:rsidRPr="00AA0025">
        <w:rPr>
          <w:rFonts w:asciiTheme="minorHAnsi" w:eastAsiaTheme="minorHAnsi" w:hAnsiTheme="minorHAnsi" w:cstheme="minorHAnsi"/>
        </w:rPr>
        <w:t>Las existencias en poder de almacenes y oficinas de farmacia de dichos medicamentos con cupón precinto anterior, podrán seguir comercializándose, si bien, para las condiciones de financiación en el momento de su dispensación, se tendrá en cuenta las nuevas condiciones establecidas.</w:t>
      </w:r>
    </w:p>
    <w:p w:rsidR="008A096C" w:rsidRPr="00234D03" w:rsidRDefault="008A096C" w:rsidP="00234D03">
      <w:pPr>
        <w:pStyle w:val="Prrafodelista"/>
        <w:numPr>
          <w:ilvl w:val="0"/>
          <w:numId w:val="19"/>
        </w:numPr>
        <w:jc w:val="both"/>
        <w:rPr>
          <w:rFonts w:asciiTheme="minorHAnsi" w:eastAsia="Times New Roman" w:hAnsiTheme="minorHAnsi" w:cs="Arial"/>
          <w:b/>
          <w:u w:val="single"/>
          <w:lang w:eastAsia="es-ES"/>
        </w:rPr>
      </w:pPr>
      <w:r w:rsidRPr="00234D03">
        <w:rPr>
          <w:rFonts w:asciiTheme="minorHAnsi" w:eastAsia="Times New Roman" w:hAnsiTheme="minorHAnsi" w:cs="Arial"/>
          <w:b/>
          <w:u w:val="single"/>
          <w:lang w:eastAsia="es-ES"/>
        </w:rPr>
        <w:lastRenderedPageBreak/>
        <w:t xml:space="preserve">SUSPENSIONES JUDICIALES DE COMERCIALIZACIÓN </w:t>
      </w:r>
    </w:p>
    <w:p w:rsidR="008A096C" w:rsidRPr="008A096C" w:rsidRDefault="008A096C" w:rsidP="008A096C">
      <w:pPr>
        <w:jc w:val="both"/>
        <w:rPr>
          <w:rFonts w:asciiTheme="minorHAnsi" w:hAnsiTheme="minorHAnsi" w:cs="Arial"/>
          <w:color w:val="FF0000"/>
        </w:rPr>
      </w:pPr>
    </w:p>
    <w:p w:rsidR="008A096C" w:rsidRPr="00234D03" w:rsidRDefault="008A096C" w:rsidP="008A096C">
      <w:pPr>
        <w:ind w:left="426"/>
        <w:jc w:val="both"/>
        <w:rPr>
          <w:rFonts w:asciiTheme="minorHAnsi" w:hAnsiTheme="minorHAnsi" w:cs="Arial"/>
          <w:lang w:val="es-ES_tradnl"/>
        </w:rPr>
      </w:pPr>
      <w:r w:rsidRPr="00234D03">
        <w:rPr>
          <w:rFonts w:asciiTheme="minorHAnsi" w:hAnsiTheme="minorHAnsi" w:cs="Arial"/>
          <w:lang w:val="es-ES_tradnl"/>
        </w:rPr>
        <w:t xml:space="preserve">En cumplimiento de las notificaciones que los correspondientes juzgados han remitido a esta Dirección General con </w:t>
      </w:r>
      <w:r w:rsidRPr="00234D03">
        <w:rPr>
          <w:rFonts w:asciiTheme="minorHAnsi" w:hAnsiTheme="minorHAnsi" w:cs="Arial"/>
          <w:u w:val="single"/>
          <w:lang w:val="es-ES_tradnl"/>
        </w:rPr>
        <w:t>medidas cautelares</w:t>
      </w:r>
      <w:r w:rsidRPr="00234D03">
        <w:rPr>
          <w:rFonts w:asciiTheme="minorHAnsi" w:hAnsiTheme="minorHAnsi" w:cs="Arial"/>
          <w:lang w:val="es-ES_tradnl"/>
        </w:rPr>
        <w:t xml:space="preserve"> acordadas sobre determinados medicamentos, se ha procedido a la anotación en el nomenclátor </w:t>
      </w:r>
      <w:r w:rsidRPr="00234D03">
        <w:rPr>
          <w:rFonts w:asciiTheme="minorHAnsi" w:hAnsiTheme="minorHAnsi" w:cs="Arial"/>
          <w:lang w:eastAsia="es-ES"/>
        </w:rPr>
        <w:t>de la situación de “</w:t>
      </w:r>
      <w:r w:rsidRPr="00234D03">
        <w:rPr>
          <w:rFonts w:asciiTheme="minorHAnsi" w:hAnsiTheme="minorHAnsi" w:cs="Arial"/>
          <w:u w:val="single"/>
          <w:lang w:eastAsia="es-ES"/>
        </w:rPr>
        <w:t>H-Suspensión judicial de comercialización</w:t>
      </w:r>
      <w:r w:rsidRPr="00234D03">
        <w:rPr>
          <w:rFonts w:asciiTheme="minorHAnsi" w:hAnsiTheme="minorHAnsi" w:cs="Arial"/>
          <w:lang w:eastAsia="es-ES"/>
        </w:rPr>
        <w:t>”</w:t>
      </w:r>
      <w:r w:rsidRPr="00234D03">
        <w:rPr>
          <w:rFonts w:asciiTheme="minorHAnsi" w:hAnsiTheme="minorHAnsi" w:cs="Arial"/>
          <w:lang w:val="es-ES_tradnl"/>
        </w:rPr>
        <w:t xml:space="preserve">, exclusivamente en los medicamentos afectados por las medidas judiciales notificadas expresamente a esta Dirección General. En el presente mes son los siguientes medicamentos de </w:t>
      </w:r>
      <w:r w:rsidRPr="00234D03">
        <w:rPr>
          <w:rFonts w:asciiTheme="minorHAnsi" w:hAnsiTheme="minorHAnsi" w:cs="Arial"/>
          <w:u w:val="single"/>
          <w:lang w:val="es-ES_tradnl"/>
        </w:rPr>
        <w:t>Uso Hospitalario</w:t>
      </w:r>
      <w:r w:rsidRPr="00234D03">
        <w:rPr>
          <w:rFonts w:asciiTheme="minorHAnsi" w:hAnsiTheme="minorHAnsi" w:cs="Arial"/>
          <w:lang w:val="es-ES_tradnl"/>
        </w:rPr>
        <w:t>:</w:t>
      </w:r>
    </w:p>
    <w:p w:rsidR="008A096C" w:rsidRPr="00234D03" w:rsidRDefault="008A096C" w:rsidP="008A096C">
      <w:pPr>
        <w:jc w:val="both"/>
        <w:rPr>
          <w:rFonts w:asciiTheme="minorHAnsi" w:hAnsiTheme="minorHAnsi" w:cs="Arial"/>
          <w:b/>
          <w:bCs/>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7"/>
        <w:gridCol w:w="7229"/>
      </w:tblGrid>
      <w:tr w:rsidR="00234D03" w:rsidRPr="00234D03" w:rsidTr="00496D5B">
        <w:trPr>
          <w:trHeight w:val="264"/>
        </w:trPr>
        <w:tc>
          <w:tcPr>
            <w:tcW w:w="1417" w:type="dxa"/>
            <w:shd w:val="clear" w:color="auto" w:fill="CCCCCC"/>
            <w:noWrap/>
            <w:tcMar>
              <w:top w:w="0" w:type="dxa"/>
              <w:left w:w="70" w:type="dxa"/>
              <w:bottom w:w="0" w:type="dxa"/>
              <w:right w:w="70" w:type="dxa"/>
            </w:tcMar>
            <w:vAlign w:val="bottom"/>
            <w:hideMark/>
          </w:tcPr>
          <w:p w:rsidR="008A096C" w:rsidRPr="00234D03" w:rsidRDefault="008A096C" w:rsidP="00496D5B">
            <w:pPr>
              <w:jc w:val="center"/>
              <w:rPr>
                <w:rFonts w:asciiTheme="minorHAnsi" w:hAnsiTheme="minorHAnsi" w:cs="Arial"/>
                <w:b/>
                <w:bCs/>
                <w:sz w:val="20"/>
                <w:szCs w:val="20"/>
              </w:rPr>
            </w:pPr>
            <w:r w:rsidRPr="00234D03">
              <w:rPr>
                <w:rFonts w:asciiTheme="minorHAnsi" w:hAnsiTheme="minorHAnsi" w:cs="Arial"/>
                <w:b/>
                <w:bCs/>
                <w:sz w:val="20"/>
                <w:szCs w:val="20"/>
              </w:rPr>
              <w:t>CN</w:t>
            </w:r>
          </w:p>
        </w:tc>
        <w:tc>
          <w:tcPr>
            <w:tcW w:w="7229" w:type="dxa"/>
            <w:shd w:val="clear" w:color="auto" w:fill="CCCCCC"/>
            <w:noWrap/>
            <w:tcMar>
              <w:top w:w="0" w:type="dxa"/>
              <w:left w:w="70" w:type="dxa"/>
              <w:bottom w:w="0" w:type="dxa"/>
              <w:right w:w="70" w:type="dxa"/>
            </w:tcMar>
            <w:vAlign w:val="bottom"/>
            <w:hideMark/>
          </w:tcPr>
          <w:p w:rsidR="008A096C" w:rsidRPr="00234D03" w:rsidRDefault="008A096C" w:rsidP="00496D5B">
            <w:pPr>
              <w:jc w:val="center"/>
              <w:rPr>
                <w:rFonts w:asciiTheme="minorHAnsi" w:hAnsiTheme="minorHAnsi" w:cs="Arial"/>
                <w:b/>
                <w:bCs/>
                <w:sz w:val="20"/>
                <w:szCs w:val="20"/>
              </w:rPr>
            </w:pPr>
            <w:r w:rsidRPr="00234D03">
              <w:rPr>
                <w:rFonts w:asciiTheme="minorHAnsi" w:hAnsiTheme="minorHAnsi" w:cs="Arial"/>
                <w:b/>
                <w:bCs/>
                <w:sz w:val="20"/>
                <w:szCs w:val="20"/>
              </w:rPr>
              <w:t xml:space="preserve">NOMBRE </w:t>
            </w:r>
          </w:p>
        </w:tc>
      </w:tr>
      <w:tr w:rsidR="00234D03" w:rsidRPr="00234D03" w:rsidTr="00496D5B">
        <w:trPr>
          <w:trHeight w:val="407"/>
        </w:trPr>
        <w:tc>
          <w:tcPr>
            <w:tcW w:w="1417" w:type="dxa"/>
            <w:tcMar>
              <w:top w:w="0" w:type="dxa"/>
              <w:left w:w="70" w:type="dxa"/>
              <w:bottom w:w="0" w:type="dxa"/>
              <w:right w:w="70" w:type="dxa"/>
            </w:tcMar>
            <w:vAlign w:val="center"/>
            <w:hideMark/>
          </w:tcPr>
          <w:p w:rsidR="008A096C" w:rsidRPr="00234D03" w:rsidRDefault="008A096C" w:rsidP="005A310D">
            <w:pPr>
              <w:jc w:val="center"/>
              <w:rPr>
                <w:rFonts w:asciiTheme="minorHAnsi" w:hAnsiTheme="minorHAnsi" w:cs="Arial"/>
                <w:bCs/>
                <w:sz w:val="20"/>
                <w:szCs w:val="20"/>
              </w:rPr>
            </w:pPr>
            <w:r w:rsidRPr="00234D03">
              <w:rPr>
                <w:rFonts w:asciiTheme="minorHAnsi" w:hAnsiTheme="minorHAnsi" w:cs="Arial"/>
                <w:bCs/>
                <w:sz w:val="20"/>
                <w:szCs w:val="20"/>
              </w:rPr>
              <w:t>758186</w:t>
            </w:r>
          </w:p>
        </w:tc>
        <w:tc>
          <w:tcPr>
            <w:tcW w:w="7229" w:type="dxa"/>
            <w:tcMar>
              <w:top w:w="0" w:type="dxa"/>
              <w:left w:w="70" w:type="dxa"/>
              <w:bottom w:w="0" w:type="dxa"/>
              <w:right w:w="70" w:type="dxa"/>
            </w:tcMar>
            <w:vAlign w:val="center"/>
            <w:hideMark/>
          </w:tcPr>
          <w:p w:rsidR="008A096C" w:rsidRPr="00234D03" w:rsidRDefault="008A096C" w:rsidP="00496D5B">
            <w:pPr>
              <w:rPr>
                <w:rFonts w:asciiTheme="minorHAnsi" w:hAnsiTheme="minorHAnsi" w:cs="Arial"/>
                <w:bCs/>
                <w:sz w:val="20"/>
                <w:szCs w:val="20"/>
              </w:rPr>
            </w:pPr>
            <w:r w:rsidRPr="00234D03">
              <w:rPr>
                <w:rFonts w:asciiTheme="minorHAnsi" w:hAnsiTheme="minorHAnsi" w:cs="Arial"/>
                <w:bCs/>
                <w:sz w:val="20"/>
                <w:szCs w:val="20"/>
              </w:rPr>
              <w:t>FUMARATO DE DIMETILO KERN PHARMA 120MG 14 CAPSULAS DURAS GASTRORRESISTENTES EFG</w:t>
            </w:r>
          </w:p>
        </w:tc>
      </w:tr>
      <w:tr w:rsidR="00234D03" w:rsidRPr="00234D03" w:rsidTr="00496D5B">
        <w:trPr>
          <w:trHeight w:val="285"/>
        </w:trPr>
        <w:tc>
          <w:tcPr>
            <w:tcW w:w="1417" w:type="dxa"/>
            <w:tcMar>
              <w:top w:w="0" w:type="dxa"/>
              <w:left w:w="70" w:type="dxa"/>
              <w:bottom w:w="0" w:type="dxa"/>
              <w:right w:w="70" w:type="dxa"/>
            </w:tcMar>
            <w:vAlign w:val="center"/>
          </w:tcPr>
          <w:p w:rsidR="008A096C" w:rsidRPr="00234D03" w:rsidRDefault="008A096C" w:rsidP="005A310D">
            <w:pPr>
              <w:jc w:val="center"/>
              <w:rPr>
                <w:rFonts w:asciiTheme="minorHAnsi" w:hAnsiTheme="minorHAnsi" w:cs="Arial"/>
                <w:bCs/>
                <w:sz w:val="20"/>
                <w:szCs w:val="20"/>
              </w:rPr>
            </w:pPr>
            <w:r w:rsidRPr="00234D03">
              <w:rPr>
                <w:rFonts w:asciiTheme="minorHAnsi" w:hAnsiTheme="minorHAnsi" w:cs="Arial"/>
                <w:bCs/>
                <w:sz w:val="20"/>
                <w:szCs w:val="20"/>
              </w:rPr>
              <w:t>758187</w:t>
            </w:r>
          </w:p>
        </w:tc>
        <w:tc>
          <w:tcPr>
            <w:tcW w:w="7229" w:type="dxa"/>
            <w:tcMar>
              <w:top w:w="0" w:type="dxa"/>
              <w:left w:w="70" w:type="dxa"/>
              <w:bottom w:w="0" w:type="dxa"/>
              <w:right w:w="70" w:type="dxa"/>
            </w:tcMar>
            <w:vAlign w:val="center"/>
          </w:tcPr>
          <w:p w:rsidR="008A096C" w:rsidRPr="00234D03" w:rsidRDefault="008A096C" w:rsidP="00496D5B">
            <w:pPr>
              <w:rPr>
                <w:rFonts w:asciiTheme="minorHAnsi" w:hAnsiTheme="minorHAnsi" w:cs="Arial"/>
                <w:bCs/>
                <w:sz w:val="20"/>
                <w:szCs w:val="20"/>
              </w:rPr>
            </w:pPr>
            <w:r w:rsidRPr="00234D03">
              <w:rPr>
                <w:rFonts w:asciiTheme="minorHAnsi" w:hAnsiTheme="minorHAnsi" w:cs="Arial"/>
                <w:bCs/>
                <w:sz w:val="20"/>
                <w:szCs w:val="20"/>
              </w:rPr>
              <w:t>FUMARATO DE DIMETILO KERN PHARMA 240MG 56 CAPSULAS DURAS GASTRORRESISTENTES EFG</w:t>
            </w:r>
          </w:p>
        </w:tc>
      </w:tr>
    </w:tbl>
    <w:p w:rsidR="00EF079A" w:rsidRDefault="00EF079A" w:rsidP="00EF079A">
      <w:pPr>
        <w:autoSpaceDE w:val="0"/>
        <w:autoSpaceDN w:val="0"/>
        <w:adjustRightInd w:val="0"/>
        <w:jc w:val="both"/>
        <w:rPr>
          <w:rFonts w:asciiTheme="minorHAnsi" w:hAnsiTheme="minorHAnsi" w:cstheme="minorHAnsi"/>
          <w:b/>
          <w:u w:val="single"/>
        </w:rPr>
      </w:pPr>
    </w:p>
    <w:p w:rsidR="00674E9F" w:rsidRPr="00EF079A" w:rsidRDefault="00674E9F" w:rsidP="00EF079A">
      <w:pPr>
        <w:autoSpaceDE w:val="0"/>
        <w:autoSpaceDN w:val="0"/>
        <w:adjustRightInd w:val="0"/>
        <w:jc w:val="both"/>
        <w:rPr>
          <w:rFonts w:asciiTheme="minorHAnsi" w:hAnsiTheme="minorHAnsi" w:cstheme="minorHAnsi"/>
          <w:b/>
          <w:u w:val="single"/>
        </w:rPr>
      </w:pPr>
    </w:p>
    <w:p w:rsidR="00E23866" w:rsidRPr="00D5098C" w:rsidRDefault="00E23866" w:rsidP="00F065CF">
      <w:pPr>
        <w:pStyle w:val="Prrafodelista"/>
        <w:numPr>
          <w:ilvl w:val="0"/>
          <w:numId w:val="19"/>
        </w:numPr>
        <w:ind w:left="426" w:hanging="76"/>
        <w:jc w:val="both"/>
        <w:rPr>
          <w:rFonts w:asciiTheme="minorHAnsi" w:eastAsia="Times New Roman" w:hAnsiTheme="minorHAnsi" w:cstheme="minorHAnsi"/>
          <w:b/>
          <w:u w:val="single"/>
          <w:lang w:eastAsia="es-ES"/>
        </w:rPr>
      </w:pPr>
      <w:r w:rsidRPr="00D5098C">
        <w:rPr>
          <w:rFonts w:asciiTheme="minorHAnsi" w:eastAsia="Times New Roman" w:hAnsiTheme="minorHAnsi" w:cstheme="minorHAnsi"/>
          <w:b/>
          <w:u w:val="single"/>
          <w:lang w:eastAsia="es-ES"/>
        </w:rPr>
        <w:t xml:space="preserve">PRECIOS NOTIFICADOS </w:t>
      </w:r>
    </w:p>
    <w:p w:rsidR="00E23866" w:rsidRPr="00D5098C" w:rsidRDefault="00E23866" w:rsidP="00E23866">
      <w:pPr>
        <w:widowControl w:val="0"/>
        <w:jc w:val="both"/>
        <w:rPr>
          <w:rFonts w:asciiTheme="minorHAnsi" w:hAnsiTheme="minorHAnsi" w:cs="Arial"/>
          <w:b/>
          <w:u w:val="single"/>
        </w:rPr>
      </w:pPr>
    </w:p>
    <w:p w:rsidR="00E23866" w:rsidRPr="00D5098C" w:rsidRDefault="00E23866" w:rsidP="00E23866">
      <w:pPr>
        <w:numPr>
          <w:ilvl w:val="0"/>
          <w:numId w:val="1"/>
        </w:numPr>
        <w:ind w:left="709" w:hanging="502"/>
        <w:jc w:val="both"/>
        <w:rPr>
          <w:rFonts w:asciiTheme="minorHAnsi" w:hAnsiTheme="minorHAnsi" w:cs="Arial"/>
        </w:rPr>
      </w:pPr>
      <w:r w:rsidRPr="00D5098C">
        <w:rPr>
          <w:rFonts w:asciiTheme="minorHAnsi" w:hAnsiTheme="minorHAnsi" w:cs="Arial"/>
        </w:rPr>
        <w:t>Medicamentos financiados: se aceptan los precios industriales notificados por los laboratorios para los siguientes medicamentos para cuando sean dispensados fuera del Sistema Nacional de Salud, en los siguientes formatos y códigos nacionales, conforme a lo establecido en el artículo 94, puntos 4, 6 y 7 del texto refundido de la Ley de garantías y uso racional de los medicamentos y productos sanitarios, aprobado por el Real Decreto Legislativo 1/2015, de 24 de julio.</w:t>
      </w:r>
    </w:p>
    <w:p w:rsidR="00A423AB" w:rsidRDefault="00E23866" w:rsidP="00A423AB">
      <w:pPr>
        <w:jc w:val="both"/>
        <w:rPr>
          <w:rFonts w:eastAsia="Times New Roman" w:cs="Calibri"/>
          <w:sz w:val="20"/>
          <w:szCs w:val="20"/>
          <w:lang w:eastAsia="es-ES"/>
        </w:rPr>
      </w:pPr>
      <w:r w:rsidRPr="00D5098C">
        <w:rPr>
          <w:rFonts w:asciiTheme="minorHAnsi" w:hAnsiTheme="minorHAnsi" w:cs="Arial"/>
        </w:rPr>
        <w:t xml:space="preserve"> </w:t>
      </w:r>
    </w:p>
    <w:tbl>
      <w:tblPr>
        <w:tblW w:w="9072" w:type="dxa"/>
        <w:tblInd w:w="704" w:type="dxa"/>
        <w:tblCellMar>
          <w:left w:w="70" w:type="dxa"/>
          <w:right w:w="70" w:type="dxa"/>
        </w:tblCellMar>
        <w:tblLook w:val="04A0" w:firstRow="1" w:lastRow="0" w:firstColumn="1" w:lastColumn="0" w:noHBand="0" w:noVBand="1"/>
      </w:tblPr>
      <w:tblGrid>
        <w:gridCol w:w="851"/>
        <w:gridCol w:w="4710"/>
        <w:gridCol w:w="393"/>
        <w:gridCol w:w="425"/>
        <w:gridCol w:w="567"/>
        <w:gridCol w:w="992"/>
        <w:gridCol w:w="1134"/>
      </w:tblGrid>
      <w:tr w:rsidR="00726904" w:rsidRPr="00726904" w:rsidTr="00BD41DA">
        <w:trPr>
          <w:trHeight w:val="260"/>
        </w:trPr>
        <w:tc>
          <w:tcPr>
            <w:tcW w:w="851" w:type="dxa"/>
            <w:tcBorders>
              <w:top w:val="single" w:sz="4" w:space="0" w:color="auto"/>
              <w:left w:val="single" w:sz="4" w:space="0" w:color="auto"/>
              <w:bottom w:val="single" w:sz="4" w:space="0" w:color="auto"/>
              <w:right w:val="single" w:sz="4" w:space="0" w:color="auto"/>
            </w:tcBorders>
            <w:shd w:val="clear" w:color="FFFFFF" w:fill="BFBFBF"/>
            <w:noWrap/>
            <w:vAlign w:val="bottom"/>
            <w:hideMark/>
          </w:tcPr>
          <w:p w:rsidR="00BD41DA" w:rsidRPr="00726904" w:rsidRDefault="00BD41DA" w:rsidP="00BD41DA">
            <w:pPr>
              <w:jc w:val="center"/>
              <w:rPr>
                <w:rFonts w:eastAsia="Times New Roman" w:cs="Calibri"/>
                <w:b/>
                <w:sz w:val="20"/>
                <w:szCs w:val="20"/>
                <w:lang w:eastAsia="es-ES"/>
              </w:rPr>
            </w:pPr>
            <w:r w:rsidRPr="00726904">
              <w:rPr>
                <w:rFonts w:eastAsia="Times New Roman" w:cs="Calibri"/>
                <w:b/>
                <w:sz w:val="20"/>
                <w:szCs w:val="20"/>
                <w:lang w:eastAsia="es-ES"/>
              </w:rPr>
              <w:t>CN</w:t>
            </w:r>
          </w:p>
        </w:tc>
        <w:tc>
          <w:tcPr>
            <w:tcW w:w="4710" w:type="dxa"/>
            <w:tcBorders>
              <w:top w:val="single" w:sz="4" w:space="0" w:color="auto"/>
              <w:left w:val="nil"/>
              <w:bottom w:val="single" w:sz="4" w:space="0" w:color="auto"/>
              <w:right w:val="single" w:sz="4" w:space="0" w:color="auto"/>
            </w:tcBorders>
            <w:shd w:val="clear" w:color="FFFFFF" w:fill="BFBFBF"/>
            <w:vAlign w:val="bottom"/>
            <w:hideMark/>
          </w:tcPr>
          <w:p w:rsidR="00BD41DA" w:rsidRPr="00726904" w:rsidRDefault="00BD41DA" w:rsidP="00BD41DA">
            <w:pPr>
              <w:jc w:val="center"/>
              <w:rPr>
                <w:rFonts w:eastAsia="Times New Roman" w:cs="Calibri"/>
                <w:b/>
                <w:sz w:val="20"/>
                <w:szCs w:val="20"/>
                <w:lang w:eastAsia="es-ES"/>
              </w:rPr>
            </w:pPr>
            <w:r w:rsidRPr="00726904">
              <w:rPr>
                <w:rFonts w:eastAsia="Times New Roman" w:cs="Calibri"/>
                <w:b/>
                <w:sz w:val="20"/>
                <w:szCs w:val="20"/>
                <w:lang w:eastAsia="es-ES"/>
              </w:rPr>
              <w:t>NOMBRE</w:t>
            </w:r>
          </w:p>
        </w:tc>
        <w:tc>
          <w:tcPr>
            <w:tcW w:w="393" w:type="dxa"/>
            <w:tcBorders>
              <w:top w:val="single" w:sz="4" w:space="0" w:color="auto"/>
              <w:left w:val="nil"/>
              <w:bottom w:val="single" w:sz="4" w:space="0" w:color="auto"/>
              <w:right w:val="single" w:sz="4" w:space="0" w:color="auto"/>
            </w:tcBorders>
            <w:shd w:val="clear" w:color="FFFFFF" w:fill="BFBFBF"/>
            <w:noWrap/>
            <w:vAlign w:val="bottom"/>
            <w:hideMark/>
          </w:tcPr>
          <w:p w:rsidR="00BD41DA" w:rsidRPr="00726904" w:rsidRDefault="00BD41DA" w:rsidP="00BD41DA">
            <w:pPr>
              <w:jc w:val="center"/>
              <w:rPr>
                <w:rFonts w:eastAsia="Times New Roman" w:cs="Calibri"/>
                <w:b/>
                <w:sz w:val="20"/>
                <w:szCs w:val="20"/>
                <w:lang w:eastAsia="es-ES"/>
              </w:rPr>
            </w:pPr>
            <w:r w:rsidRPr="00726904">
              <w:rPr>
                <w:rFonts w:eastAsia="Times New Roman" w:cs="Calibri"/>
                <w:b/>
                <w:sz w:val="20"/>
                <w:szCs w:val="20"/>
                <w:lang w:eastAsia="es-ES"/>
              </w:rPr>
              <w:t>DH</w:t>
            </w:r>
          </w:p>
        </w:tc>
        <w:tc>
          <w:tcPr>
            <w:tcW w:w="425" w:type="dxa"/>
            <w:tcBorders>
              <w:top w:val="single" w:sz="4" w:space="0" w:color="auto"/>
              <w:left w:val="nil"/>
              <w:bottom w:val="single" w:sz="4" w:space="0" w:color="auto"/>
              <w:right w:val="single" w:sz="4" w:space="0" w:color="auto"/>
            </w:tcBorders>
            <w:shd w:val="clear" w:color="FFFFFF" w:fill="BFBFBF"/>
            <w:noWrap/>
            <w:vAlign w:val="bottom"/>
            <w:hideMark/>
          </w:tcPr>
          <w:p w:rsidR="00BD41DA" w:rsidRPr="00726904" w:rsidRDefault="00BD41DA" w:rsidP="00BD41DA">
            <w:pPr>
              <w:jc w:val="center"/>
              <w:rPr>
                <w:rFonts w:eastAsia="Times New Roman" w:cs="Calibri"/>
                <w:b/>
                <w:sz w:val="20"/>
                <w:szCs w:val="20"/>
                <w:lang w:eastAsia="es-ES"/>
              </w:rPr>
            </w:pPr>
            <w:r w:rsidRPr="00726904">
              <w:rPr>
                <w:rFonts w:eastAsia="Times New Roman" w:cs="Calibri"/>
                <w:b/>
                <w:sz w:val="20"/>
                <w:szCs w:val="20"/>
                <w:lang w:eastAsia="es-ES"/>
              </w:rPr>
              <w:t>UH</w:t>
            </w:r>
          </w:p>
        </w:tc>
        <w:tc>
          <w:tcPr>
            <w:tcW w:w="567" w:type="dxa"/>
            <w:tcBorders>
              <w:top w:val="single" w:sz="4" w:space="0" w:color="auto"/>
              <w:left w:val="nil"/>
              <w:bottom w:val="single" w:sz="4" w:space="0" w:color="auto"/>
              <w:right w:val="single" w:sz="4" w:space="0" w:color="auto"/>
            </w:tcBorders>
            <w:shd w:val="clear" w:color="FFFFFF" w:fill="BFBFBF"/>
            <w:noWrap/>
            <w:vAlign w:val="bottom"/>
            <w:hideMark/>
          </w:tcPr>
          <w:p w:rsidR="00BD41DA" w:rsidRPr="00726904" w:rsidRDefault="00BD41DA" w:rsidP="00BD41DA">
            <w:pPr>
              <w:jc w:val="center"/>
              <w:rPr>
                <w:rFonts w:eastAsia="Times New Roman" w:cs="Calibri"/>
                <w:b/>
                <w:sz w:val="20"/>
                <w:szCs w:val="20"/>
                <w:lang w:eastAsia="es-ES"/>
              </w:rPr>
            </w:pPr>
            <w:r w:rsidRPr="00726904">
              <w:rPr>
                <w:rFonts w:eastAsia="Times New Roman" w:cs="Calibri"/>
                <w:b/>
                <w:sz w:val="20"/>
                <w:szCs w:val="20"/>
                <w:lang w:eastAsia="es-ES"/>
              </w:rPr>
              <w:t>SCP</w:t>
            </w:r>
          </w:p>
        </w:tc>
        <w:tc>
          <w:tcPr>
            <w:tcW w:w="992" w:type="dxa"/>
            <w:tcBorders>
              <w:top w:val="single" w:sz="4" w:space="0" w:color="auto"/>
              <w:left w:val="nil"/>
              <w:bottom w:val="single" w:sz="4" w:space="0" w:color="auto"/>
              <w:right w:val="single" w:sz="4" w:space="0" w:color="auto"/>
            </w:tcBorders>
            <w:shd w:val="clear" w:color="FFFFFF" w:fill="BFBFBF"/>
            <w:noWrap/>
            <w:vAlign w:val="bottom"/>
            <w:hideMark/>
          </w:tcPr>
          <w:p w:rsidR="00BD41DA" w:rsidRPr="00726904" w:rsidRDefault="00BD41DA" w:rsidP="00BD41DA">
            <w:pPr>
              <w:jc w:val="center"/>
              <w:rPr>
                <w:rFonts w:eastAsia="Times New Roman" w:cs="Calibri"/>
                <w:b/>
                <w:sz w:val="20"/>
                <w:szCs w:val="20"/>
                <w:lang w:eastAsia="es-ES"/>
              </w:rPr>
            </w:pPr>
            <w:r w:rsidRPr="00726904">
              <w:rPr>
                <w:rFonts w:eastAsia="Times New Roman" w:cs="Calibri"/>
                <w:b/>
                <w:sz w:val="20"/>
                <w:szCs w:val="20"/>
                <w:lang w:eastAsia="es-ES"/>
              </w:rPr>
              <w:t>Biosimilar</w:t>
            </w:r>
          </w:p>
        </w:tc>
        <w:tc>
          <w:tcPr>
            <w:tcW w:w="1134" w:type="dxa"/>
            <w:tcBorders>
              <w:top w:val="single" w:sz="4" w:space="0" w:color="auto"/>
              <w:left w:val="nil"/>
              <w:bottom w:val="single" w:sz="4" w:space="0" w:color="auto"/>
              <w:right w:val="single" w:sz="4" w:space="0" w:color="auto"/>
            </w:tcBorders>
            <w:shd w:val="clear" w:color="FFFFFF" w:fill="BFBFBF"/>
            <w:noWrap/>
            <w:vAlign w:val="bottom"/>
            <w:hideMark/>
          </w:tcPr>
          <w:p w:rsidR="00BD41DA" w:rsidRPr="00726904" w:rsidRDefault="00BD41DA" w:rsidP="00BD41DA">
            <w:pPr>
              <w:jc w:val="center"/>
              <w:rPr>
                <w:rFonts w:eastAsia="Times New Roman" w:cs="Calibri"/>
                <w:b/>
                <w:sz w:val="20"/>
                <w:szCs w:val="20"/>
                <w:lang w:eastAsia="es-ES"/>
              </w:rPr>
            </w:pPr>
            <w:r w:rsidRPr="00726904">
              <w:rPr>
                <w:rFonts w:eastAsia="Times New Roman" w:cs="Calibri"/>
                <w:b/>
                <w:sz w:val="20"/>
                <w:szCs w:val="20"/>
                <w:lang w:eastAsia="es-ES"/>
              </w:rPr>
              <w:t>Huérfano</w:t>
            </w:r>
          </w:p>
        </w:tc>
      </w:tr>
      <w:tr w:rsidR="00726904" w:rsidRPr="00726904" w:rsidTr="00BD41DA">
        <w:trPr>
          <w:trHeight w:val="52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BD41DA" w:rsidRPr="00726904" w:rsidRDefault="00BD41DA" w:rsidP="00BD41DA">
            <w:pPr>
              <w:jc w:val="right"/>
              <w:rPr>
                <w:rFonts w:eastAsia="Times New Roman" w:cs="Calibri"/>
                <w:sz w:val="20"/>
                <w:szCs w:val="20"/>
                <w:lang w:eastAsia="es-ES"/>
              </w:rPr>
            </w:pPr>
            <w:r w:rsidRPr="00726904">
              <w:rPr>
                <w:rFonts w:eastAsia="Times New Roman" w:cs="Calibri"/>
                <w:sz w:val="20"/>
                <w:szCs w:val="20"/>
                <w:lang w:eastAsia="es-ES"/>
              </w:rPr>
              <w:t>607771</w:t>
            </w:r>
          </w:p>
        </w:tc>
        <w:tc>
          <w:tcPr>
            <w:tcW w:w="4710" w:type="dxa"/>
            <w:tcBorders>
              <w:top w:val="nil"/>
              <w:left w:val="nil"/>
              <w:bottom w:val="single" w:sz="4" w:space="0" w:color="auto"/>
              <w:right w:val="single" w:sz="4" w:space="0" w:color="auto"/>
            </w:tcBorders>
            <w:shd w:val="clear" w:color="FFFFFF" w:fill="FFFFFF"/>
            <w:vAlign w:val="bottom"/>
            <w:hideMark/>
          </w:tcPr>
          <w:p w:rsidR="00BD41DA" w:rsidRPr="00726904" w:rsidRDefault="00BD41DA" w:rsidP="00BD41DA">
            <w:pPr>
              <w:rPr>
                <w:rFonts w:eastAsia="Times New Roman" w:cs="Calibri"/>
                <w:sz w:val="20"/>
                <w:szCs w:val="20"/>
                <w:lang w:eastAsia="es-ES"/>
              </w:rPr>
            </w:pPr>
            <w:r w:rsidRPr="00726904">
              <w:rPr>
                <w:rFonts w:eastAsia="Times New Roman" w:cs="Calibri"/>
                <w:sz w:val="20"/>
                <w:szCs w:val="20"/>
                <w:lang w:eastAsia="es-ES"/>
              </w:rPr>
              <w:t>VIAFLO CLORURO SODICO 0,9% 12 BOLSAS 1000ML SOLUCION PARA PERFUSION</w:t>
            </w:r>
          </w:p>
        </w:tc>
        <w:tc>
          <w:tcPr>
            <w:tcW w:w="393"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c>
          <w:tcPr>
            <w:tcW w:w="567"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r>
      <w:tr w:rsidR="00726904" w:rsidRPr="00726904" w:rsidTr="00BD41DA">
        <w:trPr>
          <w:trHeight w:val="52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BD41DA" w:rsidRPr="00726904" w:rsidRDefault="00BD41DA" w:rsidP="00BD41DA">
            <w:pPr>
              <w:jc w:val="right"/>
              <w:rPr>
                <w:rFonts w:eastAsia="Times New Roman" w:cs="Calibri"/>
                <w:sz w:val="20"/>
                <w:szCs w:val="20"/>
                <w:lang w:eastAsia="es-ES"/>
              </w:rPr>
            </w:pPr>
            <w:r w:rsidRPr="00726904">
              <w:rPr>
                <w:rFonts w:eastAsia="Times New Roman" w:cs="Calibri"/>
                <w:sz w:val="20"/>
                <w:szCs w:val="20"/>
                <w:lang w:eastAsia="es-ES"/>
              </w:rPr>
              <w:t>607774</w:t>
            </w:r>
          </w:p>
        </w:tc>
        <w:tc>
          <w:tcPr>
            <w:tcW w:w="4710" w:type="dxa"/>
            <w:tcBorders>
              <w:top w:val="nil"/>
              <w:left w:val="nil"/>
              <w:bottom w:val="single" w:sz="4" w:space="0" w:color="auto"/>
              <w:right w:val="single" w:sz="4" w:space="0" w:color="auto"/>
            </w:tcBorders>
            <w:shd w:val="clear" w:color="FFFFFF" w:fill="FFFFFF"/>
            <w:vAlign w:val="bottom"/>
            <w:hideMark/>
          </w:tcPr>
          <w:p w:rsidR="00BD41DA" w:rsidRPr="00726904" w:rsidRDefault="00BD41DA" w:rsidP="00BD41DA">
            <w:pPr>
              <w:rPr>
                <w:rFonts w:eastAsia="Times New Roman" w:cs="Calibri"/>
                <w:sz w:val="20"/>
                <w:szCs w:val="20"/>
                <w:lang w:eastAsia="es-ES"/>
              </w:rPr>
            </w:pPr>
            <w:r w:rsidRPr="00726904">
              <w:rPr>
                <w:rFonts w:eastAsia="Times New Roman" w:cs="Calibri"/>
                <w:sz w:val="20"/>
                <w:szCs w:val="20"/>
                <w:lang w:eastAsia="es-ES"/>
              </w:rPr>
              <w:t>VIAFLO CLORURO SÓDICO 0,9% Y CLORURO POTÁSICO 0,3%  12 BOLSAS 1000ML SOLUCIÓN PARA PERFUSIÓN</w:t>
            </w:r>
          </w:p>
        </w:tc>
        <w:tc>
          <w:tcPr>
            <w:tcW w:w="393"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c>
          <w:tcPr>
            <w:tcW w:w="567"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r>
      <w:tr w:rsidR="00726904" w:rsidRPr="00726904" w:rsidTr="00BD41DA">
        <w:trPr>
          <w:trHeight w:val="52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BD41DA" w:rsidRPr="00726904" w:rsidRDefault="00BD41DA" w:rsidP="00BD41DA">
            <w:pPr>
              <w:jc w:val="right"/>
              <w:rPr>
                <w:rFonts w:eastAsia="Times New Roman" w:cs="Calibri"/>
                <w:sz w:val="20"/>
                <w:szCs w:val="20"/>
                <w:lang w:eastAsia="es-ES"/>
              </w:rPr>
            </w:pPr>
            <w:r w:rsidRPr="00726904">
              <w:rPr>
                <w:rFonts w:eastAsia="Times New Roman" w:cs="Calibri"/>
                <w:sz w:val="20"/>
                <w:szCs w:val="20"/>
                <w:lang w:eastAsia="es-ES"/>
              </w:rPr>
              <w:t>607776</w:t>
            </w:r>
          </w:p>
        </w:tc>
        <w:tc>
          <w:tcPr>
            <w:tcW w:w="4710" w:type="dxa"/>
            <w:tcBorders>
              <w:top w:val="nil"/>
              <w:left w:val="nil"/>
              <w:bottom w:val="single" w:sz="4" w:space="0" w:color="auto"/>
              <w:right w:val="single" w:sz="4" w:space="0" w:color="auto"/>
            </w:tcBorders>
            <w:shd w:val="clear" w:color="FFFFFF" w:fill="FFFFFF"/>
            <w:vAlign w:val="bottom"/>
            <w:hideMark/>
          </w:tcPr>
          <w:p w:rsidR="00BD41DA" w:rsidRPr="00726904" w:rsidRDefault="00BD41DA" w:rsidP="00BD41DA">
            <w:pPr>
              <w:rPr>
                <w:rFonts w:eastAsia="Times New Roman" w:cs="Calibri"/>
                <w:sz w:val="20"/>
                <w:szCs w:val="20"/>
                <w:lang w:eastAsia="es-ES"/>
              </w:rPr>
            </w:pPr>
            <w:r w:rsidRPr="00726904">
              <w:rPr>
                <w:rFonts w:eastAsia="Times New Roman" w:cs="Calibri"/>
                <w:sz w:val="20"/>
                <w:szCs w:val="20"/>
                <w:lang w:eastAsia="es-ES"/>
              </w:rPr>
              <w:t>VIAFLO GLUCOSALINO POTASICO 4%, 0,18%, 0,15% 12 BOLSAS 1000ML SOLUCION PARA PERFUSION</w:t>
            </w:r>
          </w:p>
        </w:tc>
        <w:tc>
          <w:tcPr>
            <w:tcW w:w="393"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hideMark/>
          </w:tcPr>
          <w:p w:rsidR="00BD41DA" w:rsidRPr="00726904" w:rsidRDefault="00BD41DA" w:rsidP="00BD41DA">
            <w:pPr>
              <w:jc w:val="center"/>
            </w:pPr>
            <w:r w:rsidRPr="0072690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BD41DA" w:rsidRPr="00726904" w:rsidRDefault="00BD41DA" w:rsidP="00BD41DA">
            <w:pPr>
              <w:jc w:val="center"/>
              <w:rPr>
                <w:rFonts w:eastAsia="Times New Roman" w:cs="Calibri"/>
                <w:sz w:val="20"/>
                <w:szCs w:val="20"/>
                <w:lang w:eastAsia="es-ES"/>
              </w:rPr>
            </w:pPr>
          </w:p>
        </w:tc>
      </w:tr>
      <w:tr w:rsidR="00D24544" w:rsidRPr="00726904" w:rsidTr="00BD41DA">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tcPr>
          <w:p w:rsidR="00D24544" w:rsidRPr="00726904" w:rsidRDefault="00D24544" w:rsidP="00BD41DA">
            <w:pPr>
              <w:jc w:val="right"/>
              <w:rPr>
                <w:rFonts w:eastAsia="Times New Roman" w:cs="Calibri"/>
                <w:sz w:val="20"/>
                <w:szCs w:val="20"/>
                <w:lang w:eastAsia="es-ES"/>
              </w:rPr>
            </w:pPr>
            <w:r>
              <w:rPr>
                <w:rFonts w:eastAsia="Times New Roman" w:cs="Calibri"/>
                <w:sz w:val="20"/>
                <w:szCs w:val="20"/>
                <w:lang w:eastAsia="es-ES"/>
              </w:rPr>
              <w:t>651402</w:t>
            </w:r>
          </w:p>
        </w:tc>
        <w:tc>
          <w:tcPr>
            <w:tcW w:w="4710" w:type="dxa"/>
            <w:tcBorders>
              <w:top w:val="nil"/>
              <w:left w:val="nil"/>
              <w:bottom w:val="single" w:sz="4" w:space="0" w:color="auto"/>
              <w:right w:val="single" w:sz="4" w:space="0" w:color="auto"/>
            </w:tcBorders>
            <w:shd w:val="clear" w:color="FFFFFF" w:fill="FFFFFF"/>
            <w:vAlign w:val="bottom"/>
          </w:tcPr>
          <w:p w:rsidR="00D24544" w:rsidRPr="00726904" w:rsidRDefault="00D24544" w:rsidP="00BD41DA">
            <w:pPr>
              <w:rPr>
                <w:rFonts w:eastAsia="Times New Roman" w:cs="Calibri"/>
                <w:sz w:val="20"/>
                <w:szCs w:val="20"/>
                <w:lang w:eastAsia="es-ES"/>
              </w:rPr>
            </w:pPr>
            <w:r w:rsidRPr="00D24544">
              <w:rPr>
                <w:rFonts w:eastAsia="Times New Roman" w:cs="Calibri"/>
                <w:sz w:val="20"/>
                <w:szCs w:val="20"/>
                <w:lang w:eastAsia="es-ES"/>
              </w:rPr>
              <w:t xml:space="preserve">VARIVAX 1 VIAL + 1 JERINGA Y 2 AGUJAS POLVO Y DISOLVENTE SUSPENSION INYECTABLE  </w:t>
            </w:r>
          </w:p>
        </w:tc>
        <w:tc>
          <w:tcPr>
            <w:tcW w:w="393"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BD41DA">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BD41DA">
            <w:pPr>
              <w:jc w:val="center"/>
              <w:rPr>
                <w:rFonts w:asciiTheme="minorHAnsi" w:hAnsiTheme="minorHAnsi" w:cs="Courier New"/>
                <w:sz w:val="20"/>
                <w:szCs w:val="20"/>
              </w:rPr>
            </w:pPr>
          </w:p>
        </w:tc>
        <w:tc>
          <w:tcPr>
            <w:tcW w:w="567"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BD41DA">
            <w:pPr>
              <w:jc w:val="center"/>
              <w:rPr>
                <w:rFonts w:eastAsia="Times New Roman" w:cs="Calibri"/>
                <w:sz w:val="20"/>
                <w:szCs w:val="20"/>
                <w:lang w:eastAsia="es-ES"/>
              </w:rPr>
            </w:pPr>
            <w:r w:rsidRPr="00726904">
              <w:rPr>
                <w:rFonts w:asciiTheme="minorHAnsi" w:hAnsiTheme="minorHAnsi" w:cs="Courier New"/>
                <w:sz w:val="20"/>
                <w:szCs w:val="20"/>
              </w:rPr>
              <w:t>√</w:t>
            </w:r>
          </w:p>
        </w:tc>
        <w:tc>
          <w:tcPr>
            <w:tcW w:w="992"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BD41DA">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BD41DA">
            <w:pPr>
              <w:jc w:val="center"/>
              <w:rPr>
                <w:rFonts w:eastAsia="Times New Roman" w:cs="Calibri"/>
                <w:sz w:val="20"/>
                <w:szCs w:val="20"/>
                <w:lang w:eastAsia="es-ES"/>
              </w:rPr>
            </w:pPr>
          </w:p>
        </w:tc>
      </w:tr>
      <w:tr w:rsidR="00D24544" w:rsidRPr="00726904" w:rsidTr="00BD41DA">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tcPr>
          <w:p w:rsidR="00D24544" w:rsidRPr="00726904" w:rsidRDefault="00D24544" w:rsidP="00D24544">
            <w:pPr>
              <w:jc w:val="right"/>
              <w:rPr>
                <w:rFonts w:eastAsia="Times New Roman" w:cs="Calibri"/>
                <w:sz w:val="20"/>
                <w:szCs w:val="20"/>
                <w:lang w:eastAsia="es-ES"/>
              </w:rPr>
            </w:pPr>
            <w:r>
              <w:rPr>
                <w:rFonts w:eastAsia="Times New Roman" w:cs="Calibri"/>
                <w:sz w:val="20"/>
                <w:szCs w:val="20"/>
                <w:lang w:eastAsia="es-ES"/>
              </w:rPr>
              <w:t>665919</w:t>
            </w:r>
          </w:p>
        </w:tc>
        <w:tc>
          <w:tcPr>
            <w:tcW w:w="4710" w:type="dxa"/>
            <w:tcBorders>
              <w:top w:val="nil"/>
              <w:left w:val="nil"/>
              <w:bottom w:val="single" w:sz="4" w:space="0" w:color="auto"/>
              <w:right w:val="single" w:sz="4" w:space="0" w:color="auto"/>
            </w:tcBorders>
            <w:shd w:val="clear" w:color="FFFFFF" w:fill="FFFFFF"/>
            <w:vAlign w:val="bottom"/>
          </w:tcPr>
          <w:p w:rsidR="00D24544" w:rsidRPr="00726904" w:rsidRDefault="00D24544" w:rsidP="00D24544">
            <w:pPr>
              <w:rPr>
                <w:rFonts w:eastAsia="Times New Roman" w:cs="Calibri"/>
                <w:sz w:val="20"/>
                <w:szCs w:val="20"/>
                <w:lang w:eastAsia="es-ES"/>
              </w:rPr>
            </w:pPr>
            <w:r w:rsidRPr="00D24544">
              <w:rPr>
                <w:rFonts w:eastAsia="Times New Roman" w:cs="Calibri"/>
                <w:sz w:val="20"/>
                <w:szCs w:val="20"/>
                <w:lang w:eastAsia="es-ES"/>
              </w:rPr>
              <w:t>DIPEPTIVEN 200MG/ML 1 FRASCO 100ML CONCENTRADO PARA SOLUCION PARA PERFUSION</w:t>
            </w:r>
          </w:p>
        </w:tc>
        <w:tc>
          <w:tcPr>
            <w:tcW w:w="393"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D24544">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D24544">
            <w:pPr>
              <w:jc w:val="center"/>
            </w:pPr>
            <w:r w:rsidRPr="0072690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D24544">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D24544">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D24544">
            <w:pPr>
              <w:jc w:val="center"/>
              <w:rPr>
                <w:rFonts w:eastAsia="Times New Roman" w:cs="Calibri"/>
                <w:sz w:val="20"/>
                <w:szCs w:val="20"/>
                <w:lang w:eastAsia="es-ES"/>
              </w:rPr>
            </w:pPr>
          </w:p>
        </w:tc>
      </w:tr>
      <w:tr w:rsidR="00D24544" w:rsidRPr="00726904" w:rsidTr="00BD41DA">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tcPr>
          <w:p w:rsidR="00D24544" w:rsidRPr="00726904" w:rsidRDefault="00D24544" w:rsidP="00D24544">
            <w:pPr>
              <w:jc w:val="right"/>
              <w:rPr>
                <w:rFonts w:eastAsia="Times New Roman" w:cs="Calibri"/>
                <w:sz w:val="20"/>
                <w:szCs w:val="20"/>
                <w:lang w:eastAsia="es-ES"/>
              </w:rPr>
            </w:pPr>
            <w:r>
              <w:rPr>
                <w:rFonts w:eastAsia="Times New Roman" w:cs="Calibri"/>
                <w:sz w:val="20"/>
                <w:szCs w:val="20"/>
                <w:lang w:eastAsia="es-ES"/>
              </w:rPr>
              <w:t>665927</w:t>
            </w:r>
          </w:p>
        </w:tc>
        <w:tc>
          <w:tcPr>
            <w:tcW w:w="4710" w:type="dxa"/>
            <w:tcBorders>
              <w:top w:val="nil"/>
              <w:left w:val="nil"/>
              <w:bottom w:val="single" w:sz="4" w:space="0" w:color="auto"/>
              <w:right w:val="single" w:sz="4" w:space="0" w:color="auto"/>
            </w:tcBorders>
            <w:shd w:val="clear" w:color="FFFFFF" w:fill="FFFFFF"/>
            <w:vAlign w:val="bottom"/>
          </w:tcPr>
          <w:p w:rsidR="00D24544" w:rsidRPr="00726904" w:rsidRDefault="00D24544" w:rsidP="00D24544">
            <w:pPr>
              <w:rPr>
                <w:rFonts w:eastAsia="Times New Roman" w:cs="Calibri"/>
                <w:sz w:val="20"/>
                <w:szCs w:val="20"/>
                <w:lang w:eastAsia="es-ES"/>
              </w:rPr>
            </w:pPr>
            <w:r w:rsidRPr="00D24544">
              <w:rPr>
                <w:rFonts w:eastAsia="Times New Roman" w:cs="Calibri"/>
                <w:sz w:val="20"/>
                <w:szCs w:val="20"/>
                <w:lang w:eastAsia="es-ES"/>
              </w:rPr>
              <w:t>DIPEPTIVEN 200MG/ML 1 FRASCO 50ML CONCENTRADO PARA SOLUCION PARA PERFUSION</w:t>
            </w:r>
          </w:p>
        </w:tc>
        <w:tc>
          <w:tcPr>
            <w:tcW w:w="393"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D24544">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D24544">
            <w:pPr>
              <w:jc w:val="center"/>
            </w:pPr>
            <w:r w:rsidRPr="0072690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D24544">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D24544">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D24544" w:rsidRPr="00726904" w:rsidRDefault="00D24544" w:rsidP="00D24544">
            <w:pPr>
              <w:jc w:val="center"/>
              <w:rPr>
                <w:rFonts w:eastAsia="Times New Roman" w:cs="Calibri"/>
                <w:sz w:val="20"/>
                <w:szCs w:val="20"/>
                <w:lang w:eastAsia="es-ES"/>
              </w:rPr>
            </w:pPr>
          </w:p>
        </w:tc>
      </w:tr>
      <w:tr w:rsidR="00CD2191" w:rsidRPr="00726904" w:rsidTr="00CD2191">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tcPr>
          <w:p w:rsidR="00CD2191" w:rsidRPr="00726904" w:rsidRDefault="00CD2191" w:rsidP="00CD2191">
            <w:pPr>
              <w:jc w:val="right"/>
              <w:rPr>
                <w:rFonts w:eastAsia="Times New Roman" w:cs="Calibri"/>
                <w:sz w:val="20"/>
                <w:szCs w:val="20"/>
                <w:lang w:eastAsia="es-ES"/>
              </w:rPr>
            </w:pPr>
            <w:r>
              <w:rPr>
                <w:rFonts w:eastAsia="Times New Roman" w:cs="Calibri"/>
                <w:sz w:val="20"/>
                <w:szCs w:val="20"/>
                <w:lang w:eastAsia="es-ES"/>
              </w:rPr>
              <w:t>680397</w:t>
            </w:r>
          </w:p>
        </w:tc>
        <w:tc>
          <w:tcPr>
            <w:tcW w:w="4710" w:type="dxa"/>
            <w:tcBorders>
              <w:top w:val="nil"/>
              <w:left w:val="nil"/>
              <w:bottom w:val="single" w:sz="4" w:space="0" w:color="auto"/>
              <w:right w:val="single" w:sz="4" w:space="0" w:color="auto"/>
            </w:tcBorders>
            <w:shd w:val="clear" w:color="FFFFFF" w:fill="FFFFFF"/>
            <w:vAlign w:val="bottom"/>
          </w:tcPr>
          <w:p w:rsidR="00CD2191" w:rsidRPr="00726904" w:rsidRDefault="00CD2191" w:rsidP="00CD2191">
            <w:pPr>
              <w:rPr>
                <w:rFonts w:eastAsia="Times New Roman" w:cs="Calibri"/>
                <w:sz w:val="20"/>
                <w:szCs w:val="20"/>
                <w:lang w:eastAsia="es-ES"/>
              </w:rPr>
            </w:pPr>
            <w:r w:rsidRPr="00CD2191">
              <w:rPr>
                <w:rFonts w:eastAsia="Times New Roman" w:cs="Calibri"/>
                <w:sz w:val="20"/>
                <w:szCs w:val="20"/>
                <w:lang w:eastAsia="es-ES"/>
              </w:rPr>
              <w:t>VITALIPID INFANTIL 10 AMPOLLAS 10ML</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tcPr>
          <w:p w:rsidR="00CD2191" w:rsidRDefault="00CD2191" w:rsidP="00CD2191">
            <w:pPr>
              <w:jc w:val="center"/>
            </w:pPr>
            <w:r w:rsidRPr="00C755C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CD2191">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tcPr>
          <w:p w:rsidR="00CD2191" w:rsidRPr="00726904" w:rsidRDefault="00CD2191" w:rsidP="00CD2191">
            <w:pPr>
              <w:jc w:val="right"/>
              <w:rPr>
                <w:rFonts w:eastAsia="Times New Roman" w:cs="Calibri"/>
                <w:sz w:val="20"/>
                <w:szCs w:val="20"/>
                <w:lang w:eastAsia="es-ES"/>
              </w:rPr>
            </w:pPr>
            <w:r>
              <w:rPr>
                <w:rFonts w:eastAsia="Times New Roman" w:cs="Calibri"/>
                <w:sz w:val="20"/>
                <w:szCs w:val="20"/>
                <w:lang w:eastAsia="es-ES"/>
              </w:rPr>
              <w:t>680405</w:t>
            </w:r>
          </w:p>
        </w:tc>
        <w:tc>
          <w:tcPr>
            <w:tcW w:w="4710" w:type="dxa"/>
            <w:tcBorders>
              <w:top w:val="nil"/>
              <w:left w:val="nil"/>
              <w:bottom w:val="single" w:sz="4" w:space="0" w:color="auto"/>
              <w:right w:val="single" w:sz="4" w:space="0" w:color="auto"/>
            </w:tcBorders>
            <w:shd w:val="clear" w:color="FFFFFF" w:fill="FFFFFF"/>
            <w:vAlign w:val="bottom"/>
          </w:tcPr>
          <w:p w:rsidR="00CD2191" w:rsidRPr="00726904" w:rsidRDefault="00CD2191" w:rsidP="00CD2191">
            <w:pPr>
              <w:rPr>
                <w:rFonts w:eastAsia="Times New Roman" w:cs="Calibri"/>
                <w:sz w:val="20"/>
                <w:szCs w:val="20"/>
                <w:lang w:eastAsia="es-ES"/>
              </w:rPr>
            </w:pPr>
            <w:r w:rsidRPr="00CD2191">
              <w:rPr>
                <w:rFonts w:eastAsia="Times New Roman" w:cs="Calibri"/>
                <w:sz w:val="20"/>
                <w:szCs w:val="20"/>
                <w:lang w:eastAsia="es-ES"/>
              </w:rPr>
              <w:t>VITALIPID ADULTOS 10 AMPOLLAS 10ML</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tcPr>
          <w:p w:rsidR="00CD2191" w:rsidRDefault="00CD2191" w:rsidP="00CD2191">
            <w:pPr>
              <w:jc w:val="center"/>
            </w:pPr>
            <w:r w:rsidRPr="00C755C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CD2191">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tcPr>
          <w:p w:rsidR="00CD2191" w:rsidRPr="00726904" w:rsidRDefault="00CD2191" w:rsidP="00CD2191">
            <w:pPr>
              <w:jc w:val="right"/>
              <w:rPr>
                <w:rFonts w:eastAsia="Times New Roman" w:cs="Calibri"/>
                <w:sz w:val="20"/>
                <w:szCs w:val="20"/>
                <w:lang w:eastAsia="es-ES"/>
              </w:rPr>
            </w:pPr>
            <w:r>
              <w:rPr>
                <w:rFonts w:eastAsia="Times New Roman" w:cs="Calibri"/>
                <w:sz w:val="20"/>
                <w:szCs w:val="20"/>
                <w:lang w:eastAsia="es-ES"/>
              </w:rPr>
              <w:t>737825</w:t>
            </w:r>
          </w:p>
        </w:tc>
        <w:tc>
          <w:tcPr>
            <w:tcW w:w="4710" w:type="dxa"/>
            <w:tcBorders>
              <w:top w:val="nil"/>
              <w:left w:val="nil"/>
              <w:bottom w:val="single" w:sz="4" w:space="0" w:color="auto"/>
              <w:right w:val="single" w:sz="4" w:space="0" w:color="auto"/>
            </w:tcBorders>
            <w:shd w:val="clear" w:color="FFFFFF" w:fill="FFFFFF"/>
            <w:vAlign w:val="bottom"/>
          </w:tcPr>
          <w:p w:rsidR="00CD2191" w:rsidRPr="00726904" w:rsidRDefault="00CD2191" w:rsidP="00CD2191">
            <w:pPr>
              <w:rPr>
                <w:rFonts w:eastAsia="Times New Roman" w:cs="Calibri"/>
                <w:sz w:val="20"/>
                <w:szCs w:val="20"/>
                <w:lang w:eastAsia="es-ES"/>
              </w:rPr>
            </w:pPr>
            <w:r w:rsidRPr="00CD2191">
              <w:rPr>
                <w:rFonts w:eastAsia="Times New Roman" w:cs="Calibri"/>
                <w:sz w:val="20"/>
                <w:szCs w:val="20"/>
                <w:lang w:eastAsia="es-ES"/>
              </w:rPr>
              <w:t xml:space="preserve">VAMIN 18 SIN ELECTROLITOS </w:t>
            </w:r>
            <w:r>
              <w:rPr>
                <w:rFonts w:eastAsia="Times New Roman" w:cs="Calibri"/>
                <w:sz w:val="20"/>
                <w:szCs w:val="20"/>
                <w:lang w:eastAsia="es-ES"/>
              </w:rPr>
              <w:t>1 FRASCO DE 500</w:t>
            </w:r>
            <w:r w:rsidRPr="00CD2191">
              <w:rPr>
                <w:rFonts w:eastAsia="Times New Roman" w:cs="Calibri"/>
                <w:sz w:val="20"/>
                <w:szCs w:val="20"/>
                <w:lang w:eastAsia="es-ES"/>
              </w:rPr>
              <w:t xml:space="preserve">ML </w:t>
            </w:r>
            <w:r>
              <w:rPr>
                <w:rFonts w:eastAsia="Times New Roman" w:cs="Calibri"/>
                <w:sz w:val="20"/>
                <w:szCs w:val="20"/>
                <w:lang w:eastAsia="es-ES"/>
              </w:rPr>
              <w:t>SOLUCION PARA PERFUSION</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tcPr>
          <w:p w:rsidR="00CD2191" w:rsidRDefault="00CD2191" w:rsidP="00CD2191">
            <w:pPr>
              <w:jc w:val="center"/>
            </w:pPr>
            <w:r w:rsidRPr="00B3122D">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CD2191">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tcPr>
          <w:p w:rsidR="00CD2191" w:rsidRPr="00726904" w:rsidRDefault="00CD2191" w:rsidP="00CD2191">
            <w:pPr>
              <w:jc w:val="right"/>
              <w:rPr>
                <w:rFonts w:eastAsia="Times New Roman" w:cs="Calibri"/>
                <w:sz w:val="20"/>
                <w:szCs w:val="20"/>
                <w:lang w:eastAsia="es-ES"/>
              </w:rPr>
            </w:pPr>
            <w:r>
              <w:rPr>
                <w:rFonts w:eastAsia="Times New Roman" w:cs="Calibri"/>
                <w:sz w:val="20"/>
                <w:szCs w:val="20"/>
                <w:lang w:eastAsia="es-ES"/>
              </w:rPr>
              <w:t>737866</w:t>
            </w:r>
          </w:p>
        </w:tc>
        <w:tc>
          <w:tcPr>
            <w:tcW w:w="4710" w:type="dxa"/>
            <w:tcBorders>
              <w:top w:val="nil"/>
              <w:left w:val="nil"/>
              <w:bottom w:val="single" w:sz="4" w:space="0" w:color="auto"/>
              <w:right w:val="single" w:sz="4" w:space="0" w:color="auto"/>
            </w:tcBorders>
            <w:shd w:val="clear" w:color="FFFFFF" w:fill="FFFFFF"/>
            <w:vAlign w:val="bottom"/>
          </w:tcPr>
          <w:p w:rsidR="00CD2191" w:rsidRPr="00726904" w:rsidRDefault="00CD2191" w:rsidP="00CD2191">
            <w:pPr>
              <w:rPr>
                <w:rFonts w:eastAsia="Times New Roman" w:cs="Calibri"/>
                <w:sz w:val="20"/>
                <w:szCs w:val="20"/>
                <w:lang w:eastAsia="es-ES"/>
              </w:rPr>
            </w:pPr>
            <w:r w:rsidRPr="00CD2191">
              <w:rPr>
                <w:rFonts w:eastAsia="Times New Roman" w:cs="Calibri"/>
                <w:sz w:val="20"/>
                <w:szCs w:val="20"/>
                <w:lang w:eastAsia="es-ES"/>
              </w:rPr>
              <w:t xml:space="preserve">VAMIN 18 SIN ELECTROLITOS </w:t>
            </w:r>
            <w:r>
              <w:rPr>
                <w:rFonts w:eastAsia="Times New Roman" w:cs="Calibri"/>
                <w:sz w:val="20"/>
                <w:szCs w:val="20"/>
                <w:lang w:eastAsia="es-ES"/>
              </w:rPr>
              <w:t>1 FRASCO DE 1000</w:t>
            </w:r>
            <w:r w:rsidRPr="00CD2191">
              <w:rPr>
                <w:rFonts w:eastAsia="Times New Roman" w:cs="Calibri"/>
                <w:sz w:val="20"/>
                <w:szCs w:val="20"/>
                <w:lang w:eastAsia="es-ES"/>
              </w:rPr>
              <w:t xml:space="preserve">ML </w:t>
            </w:r>
            <w:r>
              <w:rPr>
                <w:rFonts w:eastAsia="Times New Roman" w:cs="Calibri"/>
                <w:sz w:val="20"/>
                <w:szCs w:val="20"/>
                <w:lang w:eastAsia="es-ES"/>
              </w:rPr>
              <w:t>SOLUCION PARA PERFUSION</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tcPr>
          <w:p w:rsidR="00CD2191" w:rsidRDefault="00CD2191" w:rsidP="00CD2191">
            <w:pPr>
              <w:jc w:val="center"/>
            </w:pPr>
            <w:r w:rsidRPr="00B3122D">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BD41DA">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758207</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SUNLENCA 300MG 5 COMPRIMIDOS RECUBIERTOS CON PELICULA</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pPr>
            <w:r w:rsidRPr="0072690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BD41DA">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758208</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SUNLENCA 464MG 2 VIALES 1,5ML SOLUCION INYECTABLE</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pPr>
            <w:r w:rsidRPr="0072690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BD41DA">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762407</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LIVMARLI 9,5MG/ML 1 FRASCO 30ML SOLUCION ORAL</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pPr>
            <w:r w:rsidRPr="0072690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rPr>
                <w:rFonts w:eastAsia="Times New Roman" w:cs="Calibri"/>
                <w:sz w:val="20"/>
                <w:szCs w:val="20"/>
                <w:lang w:eastAsia="es-ES"/>
              </w:rPr>
            </w:pPr>
            <w:r w:rsidRPr="00726904">
              <w:rPr>
                <w:rFonts w:asciiTheme="minorHAnsi" w:hAnsiTheme="minorHAnsi" w:cs="Courier New"/>
                <w:sz w:val="20"/>
                <w:szCs w:val="20"/>
              </w:rPr>
              <w:t>√</w:t>
            </w:r>
          </w:p>
        </w:tc>
      </w:tr>
      <w:tr w:rsidR="00CD2191" w:rsidRPr="00726904" w:rsidTr="00BD41DA">
        <w:trPr>
          <w:trHeight w:val="52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763068</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XERAVA 100MG 10 VIALES POLVO PARA CONCENTRADO PARA SOLUCION PARA PERFUSION</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pPr>
            <w:r w:rsidRPr="0072690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BD41DA">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lastRenderedPageBreak/>
              <w:t>763307</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PYLCLARI 1500MBQ/ML 1 VIAL DE 0,5-10ML SOLUCION INYECTABLE</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pPr>
            <w:r w:rsidRPr="0072690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BD41DA">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763308</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PYLCLARI 1000MBQ/ML 1 VIAL DE 0,5-10ML SOLUCION INYECTABLE</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pPr>
            <w:r w:rsidRPr="0072690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BD41DA">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763552</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INAQOVI 35/100MG 5 COMPRIMIDOS RECUBIERTOS CON PELICULA</w:t>
            </w:r>
          </w:p>
        </w:tc>
        <w:tc>
          <w:tcPr>
            <w:tcW w:w="393" w:type="dxa"/>
            <w:tcBorders>
              <w:top w:val="nil"/>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rPr>
                <w:rFonts w:eastAsia="Times New Roman" w:cs="Calibri"/>
                <w:sz w:val="20"/>
                <w:szCs w:val="20"/>
                <w:lang w:eastAsia="es-ES"/>
              </w:rPr>
            </w:pPr>
            <w:r w:rsidRPr="00726904">
              <w:rPr>
                <w:rFonts w:asciiTheme="minorHAnsi" w:hAnsiTheme="minorHAnsi" w:cs="Courier New"/>
                <w:sz w:val="20"/>
                <w:szCs w:val="20"/>
              </w:rPr>
              <w:t>√</w:t>
            </w:r>
          </w:p>
        </w:tc>
        <w:tc>
          <w:tcPr>
            <w:tcW w:w="425"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567" w:type="dxa"/>
            <w:tcBorders>
              <w:top w:val="nil"/>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rPr>
                <w:rFonts w:eastAsia="Times New Roman" w:cs="Calibri"/>
                <w:sz w:val="20"/>
                <w:szCs w:val="20"/>
                <w:lang w:eastAsia="es-ES"/>
              </w:rPr>
            </w:pPr>
            <w:r w:rsidRPr="00726904">
              <w:rPr>
                <w:rFonts w:asciiTheme="minorHAnsi" w:hAnsiTheme="minorHAnsi" w:cs="Courier New"/>
                <w:sz w:val="20"/>
                <w:szCs w:val="20"/>
              </w:rPr>
              <w:t>√</w:t>
            </w: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BD41DA">
        <w:trPr>
          <w:trHeight w:val="52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763751</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BRIUMVI 150MG 1 VIAL CONCENTRADO PARA SOLUCION PARA PERFUSION</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pPr>
            <w:r w:rsidRPr="0072690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BD41DA">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764093</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TECENTRIQ 1875MG 1 VIAL DE 15ML SOLUCION INYECTABLE</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pPr>
            <w:r w:rsidRPr="0072690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BD41DA">
        <w:trPr>
          <w:trHeight w:val="52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764609</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RIMMYRAH 10MG/ML 1 VIAL DE 0,23ML + AGUJA SOLUCION INYECTABLE</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pPr>
            <w:r w:rsidRPr="00726904">
              <w:rPr>
                <w:rFonts w:asciiTheme="minorHAnsi" w:hAnsiTheme="minorHAnsi" w:cs="Courier New"/>
                <w:sz w:val="20"/>
                <w:szCs w:val="20"/>
              </w:rPr>
              <w:t>√</w:t>
            </w: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rPr>
                <w:rFonts w:eastAsia="Times New Roman" w:cs="Calibri"/>
                <w:sz w:val="20"/>
                <w:szCs w:val="20"/>
                <w:lang w:eastAsia="es-ES"/>
              </w:rPr>
            </w:pPr>
            <w:r w:rsidRPr="00726904">
              <w:rPr>
                <w:rFonts w:asciiTheme="minorHAnsi" w:hAnsiTheme="minorHAnsi" w:cs="Courier New"/>
                <w:sz w:val="20"/>
                <w:szCs w:val="20"/>
              </w:rPr>
              <w:t>√</w:t>
            </w: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BD41DA">
        <w:trPr>
          <w:trHeight w:val="52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764692</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CUITVAR  0,5MG + 1MG (11 X 0,5MG + 42 X 1MG) 53 COMPRIMIDOS RECUBIERTOS CON PELICULA EFG</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BD41DA">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764693</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CUITVAR 0,5MG 56 COMPRIMIDOS RECUBIERTOS CON PELICULA EFG</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BD41DA">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764694</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CUITVAR 1MG 56 COMPRIMIDOS RECUBIERTOS CON PELICULA EFG</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7C7BAD">
        <w:trPr>
          <w:trHeight w:val="260"/>
        </w:trPr>
        <w:tc>
          <w:tcPr>
            <w:tcW w:w="851" w:type="dxa"/>
            <w:tcBorders>
              <w:top w:val="nil"/>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764695</w:t>
            </w:r>
          </w:p>
        </w:tc>
        <w:tc>
          <w:tcPr>
            <w:tcW w:w="4710" w:type="dxa"/>
            <w:tcBorders>
              <w:top w:val="nil"/>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CUITVAR 1MG 112 COMPRIMIDOS RECUBIERTOS CON PELICULA EFG</w:t>
            </w:r>
          </w:p>
        </w:tc>
        <w:tc>
          <w:tcPr>
            <w:tcW w:w="393"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567"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CD2191" w:rsidRPr="00726904" w:rsidTr="007C7BAD">
        <w:trPr>
          <w:trHeight w:val="520"/>
        </w:trPr>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D2191" w:rsidRPr="00726904" w:rsidRDefault="00CD2191" w:rsidP="00CD2191">
            <w:pPr>
              <w:jc w:val="right"/>
              <w:rPr>
                <w:rFonts w:eastAsia="Times New Roman" w:cs="Calibri"/>
                <w:sz w:val="20"/>
                <w:szCs w:val="20"/>
                <w:lang w:eastAsia="es-ES"/>
              </w:rPr>
            </w:pPr>
            <w:r w:rsidRPr="00726904">
              <w:rPr>
                <w:rFonts w:eastAsia="Times New Roman" w:cs="Calibri"/>
                <w:sz w:val="20"/>
                <w:szCs w:val="20"/>
                <w:lang w:eastAsia="es-ES"/>
              </w:rPr>
              <w:t>764791</w:t>
            </w:r>
          </w:p>
        </w:tc>
        <w:tc>
          <w:tcPr>
            <w:tcW w:w="4710" w:type="dxa"/>
            <w:tcBorders>
              <w:top w:val="single" w:sz="4" w:space="0" w:color="auto"/>
              <w:left w:val="nil"/>
              <w:bottom w:val="single" w:sz="4" w:space="0" w:color="auto"/>
              <w:right w:val="single" w:sz="4" w:space="0" w:color="auto"/>
            </w:tcBorders>
            <w:shd w:val="clear" w:color="FFFFFF" w:fill="FFFFFF"/>
            <w:vAlign w:val="bottom"/>
            <w:hideMark/>
          </w:tcPr>
          <w:p w:rsidR="00CD2191" w:rsidRPr="00726904" w:rsidRDefault="00CD2191" w:rsidP="00CD2191">
            <w:pPr>
              <w:rPr>
                <w:rFonts w:eastAsia="Times New Roman" w:cs="Calibri"/>
                <w:sz w:val="20"/>
                <w:szCs w:val="20"/>
                <w:lang w:eastAsia="es-ES"/>
              </w:rPr>
            </w:pPr>
            <w:r w:rsidRPr="00726904">
              <w:rPr>
                <w:rFonts w:eastAsia="Times New Roman" w:cs="Calibri"/>
                <w:sz w:val="20"/>
                <w:szCs w:val="20"/>
                <w:lang w:eastAsia="es-ES"/>
              </w:rPr>
              <w:t>STRIBILD 150/150/200/245MG 30 COMPRIMIDOS RECUBIERTOS CON PELICULA</w:t>
            </w:r>
          </w:p>
        </w:tc>
        <w:tc>
          <w:tcPr>
            <w:tcW w:w="393" w:type="dxa"/>
            <w:tcBorders>
              <w:top w:val="single" w:sz="4" w:space="0" w:color="auto"/>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425" w:type="dxa"/>
            <w:tcBorders>
              <w:top w:val="single" w:sz="4" w:space="0" w:color="auto"/>
              <w:left w:val="nil"/>
              <w:bottom w:val="single" w:sz="4" w:space="0" w:color="auto"/>
              <w:right w:val="single" w:sz="4" w:space="0" w:color="auto"/>
            </w:tcBorders>
            <w:shd w:val="clear" w:color="FFFFFF" w:fill="FFFFFF"/>
            <w:noWrap/>
            <w:vAlign w:val="center"/>
            <w:hideMark/>
          </w:tcPr>
          <w:p w:rsidR="00CD2191" w:rsidRPr="00726904" w:rsidRDefault="00CD2191" w:rsidP="00CD2191">
            <w:pPr>
              <w:jc w:val="center"/>
              <w:rPr>
                <w:rFonts w:eastAsia="Times New Roman" w:cs="Calibri"/>
                <w:sz w:val="20"/>
                <w:szCs w:val="20"/>
                <w:lang w:eastAsia="es-ES"/>
              </w:rPr>
            </w:pPr>
            <w:r w:rsidRPr="00726904">
              <w:rPr>
                <w:rFonts w:asciiTheme="minorHAnsi" w:hAnsiTheme="minorHAnsi" w:cs="Courier New"/>
                <w:sz w:val="20"/>
                <w:szCs w:val="20"/>
              </w:rPr>
              <w:t>√</w:t>
            </w:r>
          </w:p>
        </w:tc>
        <w:tc>
          <w:tcPr>
            <w:tcW w:w="567" w:type="dxa"/>
            <w:tcBorders>
              <w:top w:val="single" w:sz="4" w:space="0" w:color="auto"/>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992" w:type="dxa"/>
            <w:tcBorders>
              <w:top w:val="single" w:sz="4" w:space="0" w:color="auto"/>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c>
          <w:tcPr>
            <w:tcW w:w="1134" w:type="dxa"/>
            <w:tcBorders>
              <w:top w:val="single" w:sz="4" w:space="0" w:color="auto"/>
              <w:left w:val="nil"/>
              <w:bottom w:val="single" w:sz="4" w:space="0" w:color="auto"/>
              <w:right w:val="single" w:sz="4" w:space="0" w:color="auto"/>
            </w:tcBorders>
            <w:shd w:val="clear" w:color="FFFFFF" w:fill="FFFFFF"/>
            <w:noWrap/>
            <w:vAlign w:val="center"/>
          </w:tcPr>
          <w:p w:rsidR="00CD2191" w:rsidRPr="00726904" w:rsidRDefault="00CD2191" w:rsidP="00CD2191">
            <w:pPr>
              <w:jc w:val="center"/>
              <w:rPr>
                <w:rFonts w:eastAsia="Times New Roman" w:cs="Calibri"/>
                <w:sz w:val="20"/>
                <w:szCs w:val="20"/>
                <w:lang w:eastAsia="es-ES"/>
              </w:rPr>
            </w:pPr>
          </w:p>
        </w:tc>
      </w:tr>
      <w:tr w:rsidR="007C7BAD" w:rsidRPr="00726904" w:rsidTr="007C7BAD">
        <w:trPr>
          <w:trHeight w:val="2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7BAD" w:rsidRPr="007C7BAD" w:rsidRDefault="007C7BAD" w:rsidP="007C7BAD">
            <w:pPr>
              <w:rPr>
                <w:rFonts w:asciiTheme="minorHAnsi" w:eastAsia="Times New Roman" w:hAnsiTheme="minorHAnsi" w:cstheme="minorHAnsi"/>
                <w:bCs/>
                <w:sz w:val="20"/>
                <w:szCs w:val="20"/>
              </w:rPr>
            </w:pPr>
            <w:r w:rsidRPr="007C7BAD">
              <w:rPr>
                <w:rFonts w:asciiTheme="minorHAnsi" w:hAnsiTheme="minorHAnsi" w:cstheme="minorHAnsi"/>
                <w:bCs/>
                <w:sz w:val="20"/>
                <w:szCs w:val="20"/>
              </w:rPr>
              <w:t>683044</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bottom"/>
          </w:tcPr>
          <w:p w:rsidR="007C7BAD" w:rsidRPr="007C7BAD" w:rsidRDefault="007C7BAD" w:rsidP="007C7BAD">
            <w:pPr>
              <w:rPr>
                <w:rFonts w:asciiTheme="minorHAnsi" w:hAnsiTheme="minorHAnsi" w:cstheme="minorHAnsi"/>
                <w:bCs/>
                <w:sz w:val="20"/>
                <w:szCs w:val="20"/>
              </w:rPr>
            </w:pPr>
            <w:r w:rsidRPr="007C7BAD">
              <w:rPr>
                <w:rFonts w:asciiTheme="minorHAnsi" w:hAnsiTheme="minorHAnsi" w:cstheme="minorHAnsi"/>
                <w:bCs/>
                <w:sz w:val="20"/>
                <w:szCs w:val="20"/>
              </w:rPr>
              <w:t>BENLYSTA 120 mg POLVO PARA CONCENTRADO PARA SOLUCION PARA PERFUSION, 1 vial</w:t>
            </w:r>
          </w:p>
        </w:tc>
        <w:tc>
          <w:tcPr>
            <w:tcW w:w="393"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Pr="00726904" w:rsidRDefault="007C7BAD" w:rsidP="007C7BAD">
            <w:pPr>
              <w:jc w:val="center"/>
              <w:rPr>
                <w:rFonts w:eastAsia="Times New Roman" w:cs="Calibri"/>
                <w:sz w:val="20"/>
                <w:szCs w:val="20"/>
                <w:lang w:eastAsia="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Default="007C7BAD" w:rsidP="007C7BAD">
            <w:pPr>
              <w:jc w:val="center"/>
            </w:pPr>
            <w:r w:rsidRPr="00805064">
              <w:rPr>
                <w:rFonts w:asciiTheme="minorHAnsi" w:hAnsiTheme="minorHAnsi" w:cs="Courier New"/>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Pr="00726904" w:rsidRDefault="007C7BAD" w:rsidP="007C7BAD">
            <w:pPr>
              <w:jc w:val="center"/>
              <w:rPr>
                <w:rFonts w:eastAsia="Times New Roman" w:cs="Calibri"/>
                <w:sz w:val="20"/>
                <w:szCs w:val="20"/>
                <w:lang w:eastAsia="es-ES"/>
              </w:rPr>
            </w:pP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Pr="00726904" w:rsidRDefault="007C7BAD" w:rsidP="007C7BAD">
            <w:pPr>
              <w:jc w:val="center"/>
              <w:rPr>
                <w:rFonts w:eastAsia="Times New Roman" w:cs="Calibri"/>
                <w:sz w:val="20"/>
                <w:szCs w:val="20"/>
                <w:lang w:eastAsia="es-ES"/>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Pr="00726904" w:rsidRDefault="007C7BAD" w:rsidP="007C7BAD">
            <w:pPr>
              <w:jc w:val="center"/>
              <w:rPr>
                <w:rFonts w:eastAsia="Times New Roman" w:cs="Calibri"/>
                <w:sz w:val="20"/>
                <w:szCs w:val="20"/>
                <w:lang w:eastAsia="es-ES"/>
              </w:rPr>
            </w:pPr>
          </w:p>
        </w:tc>
      </w:tr>
      <w:tr w:rsidR="007C7BAD" w:rsidRPr="00726904" w:rsidTr="007C7BAD">
        <w:trPr>
          <w:trHeight w:val="2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7BAD" w:rsidRPr="007C7BAD" w:rsidRDefault="007C7BAD" w:rsidP="007C7BAD">
            <w:pPr>
              <w:rPr>
                <w:rFonts w:asciiTheme="minorHAnsi" w:hAnsiTheme="minorHAnsi" w:cstheme="minorHAnsi"/>
                <w:bCs/>
                <w:sz w:val="20"/>
                <w:szCs w:val="20"/>
              </w:rPr>
            </w:pPr>
            <w:r w:rsidRPr="007C7BAD">
              <w:rPr>
                <w:rFonts w:asciiTheme="minorHAnsi" w:hAnsiTheme="minorHAnsi" w:cstheme="minorHAnsi"/>
                <w:bCs/>
                <w:sz w:val="20"/>
                <w:szCs w:val="20"/>
              </w:rPr>
              <w:t>719886</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bottom"/>
          </w:tcPr>
          <w:p w:rsidR="007C7BAD" w:rsidRPr="007C7BAD" w:rsidRDefault="007C7BAD" w:rsidP="007C7BAD">
            <w:pPr>
              <w:rPr>
                <w:rFonts w:asciiTheme="minorHAnsi" w:hAnsiTheme="minorHAnsi" w:cstheme="minorHAnsi"/>
                <w:bCs/>
                <w:sz w:val="20"/>
                <w:szCs w:val="20"/>
              </w:rPr>
            </w:pPr>
            <w:r w:rsidRPr="007C7BAD">
              <w:rPr>
                <w:rFonts w:asciiTheme="minorHAnsi" w:hAnsiTheme="minorHAnsi" w:cstheme="minorHAnsi"/>
                <w:bCs/>
                <w:sz w:val="20"/>
                <w:szCs w:val="20"/>
              </w:rPr>
              <w:t>BENLYSTA 200 MG SOLUCION INYECTABLE EN PLUMA PRECARGADA, 4 plumas precargadas de 1 ml</w:t>
            </w:r>
          </w:p>
        </w:tc>
        <w:tc>
          <w:tcPr>
            <w:tcW w:w="393"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Pr="00726904" w:rsidRDefault="007C7BAD" w:rsidP="007C7BAD">
            <w:pPr>
              <w:jc w:val="center"/>
              <w:rPr>
                <w:rFonts w:eastAsia="Times New Roman" w:cs="Calibri"/>
                <w:sz w:val="20"/>
                <w:szCs w:val="20"/>
                <w:lang w:eastAsia="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Default="007C7BAD" w:rsidP="007C7BAD">
            <w:pPr>
              <w:jc w:val="center"/>
            </w:pPr>
            <w:r w:rsidRPr="00805064">
              <w:rPr>
                <w:rFonts w:asciiTheme="minorHAnsi" w:hAnsiTheme="minorHAnsi" w:cs="Courier New"/>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Pr="00726904" w:rsidRDefault="007C7BAD" w:rsidP="007C7BAD">
            <w:pPr>
              <w:jc w:val="center"/>
              <w:rPr>
                <w:rFonts w:eastAsia="Times New Roman" w:cs="Calibri"/>
                <w:sz w:val="20"/>
                <w:szCs w:val="20"/>
                <w:lang w:eastAsia="es-ES"/>
              </w:rPr>
            </w:pP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Pr="00726904" w:rsidRDefault="007C7BAD" w:rsidP="007C7BAD">
            <w:pPr>
              <w:jc w:val="center"/>
              <w:rPr>
                <w:rFonts w:eastAsia="Times New Roman" w:cs="Calibri"/>
                <w:sz w:val="20"/>
                <w:szCs w:val="20"/>
                <w:lang w:eastAsia="es-ES"/>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Pr="00726904" w:rsidRDefault="007C7BAD" w:rsidP="007C7BAD">
            <w:pPr>
              <w:jc w:val="center"/>
              <w:rPr>
                <w:rFonts w:eastAsia="Times New Roman" w:cs="Calibri"/>
                <w:sz w:val="20"/>
                <w:szCs w:val="20"/>
                <w:lang w:eastAsia="es-ES"/>
              </w:rPr>
            </w:pPr>
          </w:p>
        </w:tc>
      </w:tr>
      <w:tr w:rsidR="007C7BAD" w:rsidRPr="00726904" w:rsidTr="007C7BAD">
        <w:trPr>
          <w:trHeight w:val="5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7BAD" w:rsidRPr="007C7BAD" w:rsidRDefault="007C7BAD" w:rsidP="007C7BAD">
            <w:pPr>
              <w:rPr>
                <w:rFonts w:asciiTheme="minorHAnsi" w:hAnsiTheme="minorHAnsi" w:cstheme="minorHAnsi"/>
                <w:bCs/>
                <w:sz w:val="20"/>
                <w:szCs w:val="20"/>
              </w:rPr>
            </w:pPr>
            <w:r w:rsidRPr="007C7BAD">
              <w:rPr>
                <w:rFonts w:asciiTheme="minorHAnsi" w:hAnsiTheme="minorHAnsi" w:cstheme="minorHAnsi"/>
                <w:bCs/>
                <w:sz w:val="20"/>
                <w:szCs w:val="20"/>
              </w:rPr>
              <w:t>683043</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bottom"/>
          </w:tcPr>
          <w:p w:rsidR="007C7BAD" w:rsidRPr="007C7BAD" w:rsidRDefault="007C7BAD" w:rsidP="007C7BAD">
            <w:pPr>
              <w:rPr>
                <w:rFonts w:asciiTheme="minorHAnsi" w:hAnsiTheme="minorHAnsi" w:cstheme="minorHAnsi"/>
                <w:bCs/>
                <w:sz w:val="20"/>
                <w:szCs w:val="20"/>
              </w:rPr>
            </w:pPr>
            <w:r w:rsidRPr="007C7BAD">
              <w:rPr>
                <w:rFonts w:asciiTheme="minorHAnsi" w:hAnsiTheme="minorHAnsi" w:cstheme="minorHAnsi"/>
                <w:bCs/>
                <w:sz w:val="20"/>
                <w:szCs w:val="20"/>
              </w:rPr>
              <w:t>BENLYSTA 400 mg POLVO PARA CONCENTRADO PARA SOLUCION PARA PERFUSION, 1 vial</w:t>
            </w:r>
          </w:p>
        </w:tc>
        <w:tc>
          <w:tcPr>
            <w:tcW w:w="393"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Pr="00726904" w:rsidRDefault="007C7BAD" w:rsidP="007C7BAD">
            <w:pPr>
              <w:jc w:val="center"/>
              <w:rPr>
                <w:rFonts w:eastAsia="Times New Roman" w:cs="Calibri"/>
                <w:sz w:val="20"/>
                <w:szCs w:val="20"/>
                <w:lang w:eastAsia="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Default="007C7BAD" w:rsidP="007C7BAD">
            <w:pPr>
              <w:jc w:val="center"/>
            </w:pPr>
            <w:r w:rsidRPr="00805064">
              <w:rPr>
                <w:rFonts w:asciiTheme="minorHAnsi" w:hAnsiTheme="minorHAnsi" w:cs="Courier New"/>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Pr="00726904" w:rsidRDefault="007C7BAD" w:rsidP="007C7BAD">
            <w:pPr>
              <w:jc w:val="center"/>
              <w:rPr>
                <w:rFonts w:eastAsia="Times New Roman" w:cs="Calibri"/>
                <w:sz w:val="20"/>
                <w:szCs w:val="20"/>
                <w:lang w:eastAsia="es-ES"/>
              </w:rPr>
            </w:pP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Pr="00726904" w:rsidRDefault="007C7BAD" w:rsidP="007C7BAD">
            <w:pPr>
              <w:jc w:val="center"/>
              <w:rPr>
                <w:rFonts w:eastAsia="Times New Roman" w:cs="Calibri"/>
                <w:sz w:val="20"/>
                <w:szCs w:val="20"/>
                <w:lang w:eastAsia="es-ES"/>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7C7BAD" w:rsidRPr="00726904" w:rsidRDefault="007C7BAD" w:rsidP="007C7BAD">
            <w:pPr>
              <w:jc w:val="center"/>
              <w:rPr>
                <w:rFonts w:eastAsia="Times New Roman" w:cs="Calibri"/>
                <w:sz w:val="20"/>
                <w:szCs w:val="20"/>
                <w:lang w:eastAsia="es-ES"/>
              </w:rPr>
            </w:pPr>
          </w:p>
        </w:tc>
      </w:tr>
      <w:tr w:rsidR="002329EE" w:rsidRPr="00726904" w:rsidTr="00090E82">
        <w:trPr>
          <w:trHeight w:val="520"/>
        </w:trPr>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2329EE" w:rsidRPr="00726904" w:rsidRDefault="002329EE" w:rsidP="002329EE">
            <w:pPr>
              <w:jc w:val="right"/>
              <w:rPr>
                <w:rFonts w:eastAsia="Times New Roman" w:cs="Calibri"/>
                <w:sz w:val="20"/>
                <w:szCs w:val="20"/>
                <w:lang w:eastAsia="es-ES"/>
              </w:rPr>
            </w:pPr>
            <w:r>
              <w:rPr>
                <w:rFonts w:eastAsia="Times New Roman" w:cs="Calibri"/>
                <w:sz w:val="20"/>
                <w:szCs w:val="20"/>
                <w:lang w:eastAsia="es-ES"/>
              </w:rPr>
              <w:t>674275</w:t>
            </w:r>
          </w:p>
        </w:tc>
        <w:tc>
          <w:tcPr>
            <w:tcW w:w="4710" w:type="dxa"/>
            <w:tcBorders>
              <w:top w:val="single" w:sz="4" w:space="0" w:color="auto"/>
              <w:left w:val="nil"/>
              <w:bottom w:val="single" w:sz="4" w:space="0" w:color="auto"/>
              <w:right w:val="single" w:sz="4" w:space="0" w:color="auto"/>
            </w:tcBorders>
            <w:shd w:val="clear" w:color="FFFFFF" w:fill="FFFFFF"/>
            <w:vAlign w:val="bottom"/>
          </w:tcPr>
          <w:p w:rsidR="002329EE" w:rsidRPr="00726904" w:rsidRDefault="002329EE" w:rsidP="002329EE">
            <w:pPr>
              <w:rPr>
                <w:rFonts w:eastAsia="Times New Roman" w:cs="Calibri"/>
                <w:sz w:val="20"/>
                <w:szCs w:val="20"/>
                <w:lang w:eastAsia="es-ES"/>
              </w:rPr>
            </w:pPr>
            <w:r w:rsidRPr="002329EE">
              <w:rPr>
                <w:rFonts w:eastAsia="Times New Roman" w:cs="Calibri"/>
                <w:sz w:val="20"/>
                <w:szCs w:val="20"/>
                <w:lang w:eastAsia="es-ES"/>
              </w:rPr>
              <w:t>ONCOTICE 2-8 X 10(8) UFC 3 VIALES POLVO PARA SUSPENSION INTRAVESICAL</w:t>
            </w:r>
          </w:p>
        </w:tc>
        <w:tc>
          <w:tcPr>
            <w:tcW w:w="393" w:type="dxa"/>
            <w:tcBorders>
              <w:top w:val="single" w:sz="4" w:space="0" w:color="auto"/>
              <w:left w:val="nil"/>
              <w:bottom w:val="single" w:sz="4" w:space="0" w:color="auto"/>
              <w:right w:val="single" w:sz="4" w:space="0" w:color="auto"/>
            </w:tcBorders>
            <w:shd w:val="clear" w:color="FFFFFF" w:fill="FFFFFF"/>
            <w:noWrap/>
            <w:vAlign w:val="center"/>
          </w:tcPr>
          <w:p w:rsidR="002329EE" w:rsidRPr="00726904" w:rsidRDefault="002329EE" w:rsidP="002329EE">
            <w:pPr>
              <w:jc w:val="center"/>
              <w:rPr>
                <w:rFonts w:eastAsia="Times New Roman" w:cs="Calibri"/>
                <w:sz w:val="20"/>
                <w:szCs w:val="20"/>
                <w:lang w:eastAsia="es-ES"/>
              </w:rPr>
            </w:pP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2329EE" w:rsidRDefault="002329EE" w:rsidP="002329EE">
            <w:pPr>
              <w:jc w:val="center"/>
            </w:pPr>
            <w:r w:rsidRPr="00805064">
              <w:rPr>
                <w:rFonts w:asciiTheme="minorHAnsi" w:hAnsiTheme="minorHAnsi" w:cs="Courier New"/>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2329EE" w:rsidRPr="00726904" w:rsidRDefault="002329EE" w:rsidP="002329EE">
            <w:pPr>
              <w:jc w:val="center"/>
              <w:rPr>
                <w:rFonts w:eastAsia="Times New Roman" w:cs="Calibri"/>
                <w:sz w:val="20"/>
                <w:szCs w:val="20"/>
                <w:lang w:eastAsia="es-ES"/>
              </w:rPr>
            </w:pPr>
          </w:p>
        </w:tc>
        <w:tc>
          <w:tcPr>
            <w:tcW w:w="992" w:type="dxa"/>
            <w:tcBorders>
              <w:top w:val="single" w:sz="4" w:space="0" w:color="auto"/>
              <w:left w:val="nil"/>
              <w:bottom w:val="single" w:sz="4" w:space="0" w:color="auto"/>
              <w:right w:val="single" w:sz="4" w:space="0" w:color="auto"/>
            </w:tcBorders>
            <w:shd w:val="clear" w:color="FFFFFF" w:fill="FFFFFF"/>
            <w:noWrap/>
            <w:vAlign w:val="center"/>
          </w:tcPr>
          <w:p w:rsidR="002329EE" w:rsidRPr="00726904" w:rsidRDefault="002329EE" w:rsidP="002329EE">
            <w:pPr>
              <w:jc w:val="center"/>
              <w:rPr>
                <w:rFonts w:eastAsia="Times New Roman" w:cs="Calibri"/>
                <w:sz w:val="20"/>
                <w:szCs w:val="20"/>
                <w:lang w:eastAsia="es-ES"/>
              </w:rPr>
            </w:pPr>
          </w:p>
        </w:tc>
        <w:tc>
          <w:tcPr>
            <w:tcW w:w="1134" w:type="dxa"/>
            <w:tcBorders>
              <w:top w:val="single" w:sz="4" w:space="0" w:color="auto"/>
              <w:left w:val="nil"/>
              <w:bottom w:val="single" w:sz="4" w:space="0" w:color="auto"/>
              <w:right w:val="single" w:sz="4" w:space="0" w:color="auto"/>
            </w:tcBorders>
            <w:shd w:val="clear" w:color="FFFFFF" w:fill="FFFFFF"/>
            <w:noWrap/>
            <w:vAlign w:val="center"/>
          </w:tcPr>
          <w:p w:rsidR="002329EE" w:rsidRPr="00726904" w:rsidRDefault="002329EE" w:rsidP="002329EE">
            <w:pPr>
              <w:jc w:val="center"/>
              <w:rPr>
                <w:rFonts w:eastAsia="Times New Roman" w:cs="Calibri"/>
                <w:sz w:val="20"/>
                <w:szCs w:val="20"/>
                <w:lang w:eastAsia="es-ES"/>
              </w:rPr>
            </w:pPr>
          </w:p>
        </w:tc>
      </w:tr>
    </w:tbl>
    <w:p w:rsidR="008B5BC5" w:rsidRPr="00726904" w:rsidRDefault="008B5BC5" w:rsidP="00A423AB">
      <w:pPr>
        <w:jc w:val="both"/>
        <w:rPr>
          <w:rFonts w:eastAsia="Times New Roman" w:cs="Calibri"/>
          <w:sz w:val="20"/>
          <w:szCs w:val="20"/>
          <w:lang w:eastAsia="es-ES"/>
        </w:rPr>
      </w:pPr>
    </w:p>
    <w:p w:rsidR="00A423AB" w:rsidRPr="00726904" w:rsidRDefault="00A423AB" w:rsidP="004D613C">
      <w:pPr>
        <w:pStyle w:val="Prrafodelista"/>
        <w:numPr>
          <w:ilvl w:val="0"/>
          <w:numId w:val="1"/>
        </w:numPr>
        <w:ind w:left="709"/>
        <w:jc w:val="both"/>
        <w:rPr>
          <w:rFonts w:eastAsia="Times New Roman" w:cs="Calibri"/>
          <w:lang w:eastAsia="es-ES"/>
        </w:rPr>
      </w:pPr>
      <w:r w:rsidRPr="00726904">
        <w:rPr>
          <w:rFonts w:eastAsia="Times New Roman" w:cs="Calibri"/>
          <w:lang w:eastAsia="es-ES"/>
        </w:rPr>
        <w:t>Se elimina el precio notificado de los siguientes medicamentos financiados:</w:t>
      </w:r>
    </w:p>
    <w:p w:rsidR="00A423AB" w:rsidRPr="00726904" w:rsidRDefault="00A423AB" w:rsidP="00A423AB">
      <w:pPr>
        <w:jc w:val="both"/>
        <w:rPr>
          <w:rFonts w:eastAsia="Times New Roman" w:cs="Calibri"/>
          <w:sz w:val="20"/>
          <w:szCs w:val="20"/>
          <w:lang w:eastAsia="es-ES"/>
        </w:rPr>
      </w:pPr>
    </w:p>
    <w:tbl>
      <w:tblPr>
        <w:tblW w:w="9072" w:type="dxa"/>
        <w:tblInd w:w="704" w:type="dxa"/>
        <w:tblCellMar>
          <w:left w:w="70" w:type="dxa"/>
          <w:right w:w="70" w:type="dxa"/>
        </w:tblCellMar>
        <w:tblLook w:val="04A0" w:firstRow="1" w:lastRow="0" w:firstColumn="1" w:lastColumn="0" w:noHBand="0" w:noVBand="1"/>
      </w:tblPr>
      <w:tblGrid>
        <w:gridCol w:w="851"/>
        <w:gridCol w:w="4787"/>
        <w:gridCol w:w="425"/>
        <w:gridCol w:w="459"/>
        <w:gridCol w:w="447"/>
        <w:gridCol w:w="969"/>
        <w:gridCol w:w="1134"/>
      </w:tblGrid>
      <w:tr w:rsidR="00726904" w:rsidRPr="00726904" w:rsidTr="00910A1A">
        <w:trPr>
          <w:trHeight w:val="260"/>
        </w:trPr>
        <w:tc>
          <w:tcPr>
            <w:tcW w:w="851" w:type="dxa"/>
            <w:tcBorders>
              <w:top w:val="single" w:sz="4" w:space="0" w:color="auto"/>
              <w:left w:val="single" w:sz="4" w:space="0" w:color="auto"/>
              <w:bottom w:val="single" w:sz="4" w:space="0" w:color="auto"/>
              <w:right w:val="single" w:sz="4" w:space="0" w:color="auto"/>
            </w:tcBorders>
            <w:shd w:val="clear" w:color="FFFFFF" w:fill="BFBFBF"/>
            <w:noWrap/>
            <w:vAlign w:val="bottom"/>
            <w:hideMark/>
          </w:tcPr>
          <w:p w:rsidR="00A423AB" w:rsidRPr="00726904" w:rsidRDefault="00A423AB" w:rsidP="00910A1A">
            <w:pPr>
              <w:jc w:val="center"/>
              <w:rPr>
                <w:rFonts w:eastAsia="Times New Roman" w:cs="Calibri"/>
                <w:b/>
                <w:sz w:val="20"/>
                <w:szCs w:val="20"/>
                <w:lang w:eastAsia="es-ES"/>
              </w:rPr>
            </w:pPr>
            <w:r w:rsidRPr="00726904">
              <w:rPr>
                <w:rFonts w:eastAsia="Times New Roman" w:cs="Calibri"/>
                <w:b/>
                <w:sz w:val="20"/>
                <w:szCs w:val="20"/>
                <w:lang w:eastAsia="es-ES"/>
              </w:rPr>
              <w:t>CN</w:t>
            </w:r>
          </w:p>
        </w:tc>
        <w:tc>
          <w:tcPr>
            <w:tcW w:w="4787" w:type="dxa"/>
            <w:tcBorders>
              <w:top w:val="single" w:sz="4" w:space="0" w:color="auto"/>
              <w:left w:val="nil"/>
              <w:bottom w:val="single" w:sz="4" w:space="0" w:color="auto"/>
              <w:right w:val="single" w:sz="4" w:space="0" w:color="auto"/>
            </w:tcBorders>
            <w:shd w:val="clear" w:color="FFFFFF" w:fill="BFBFBF"/>
            <w:vAlign w:val="bottom"/>
            <w:hideMark/>
          </w:tcPr>
          <w:p w:rsidR="00A423AB" w:rsidRPr="00726904" w:rsidRDefault="00A423AB" w:rsidP="00910A1A">
            <w:pPr>
              <w:jc w:val="center"/>
              <w:rPr>
                <w:rFonts w:eastAsia="Times New Roman" w:cs="Calibri"/>
                <w:b/>
                <w:sz w:val="20"/>
                <w:szCs w:val="20"/>
                <w:lang w:eastAsia="es-ES"/>
              </w:rPr>
            </w:pPr>
            <w:r w:rsidRPr="00726904">
              <w:rPr>
                <w:rFonts w:eastAsia="Times New Roman" w:cs="Calibri"/>
                <w:b/>
                <w:sz w:val="20"/>
                <w:szCs w:val="20"/>
                <w:lang w:eastAsia="es-ES"/>
              </w:rPr>
              <w:t>NOMBRE</w:t>
            </w:r>
          </w:p>
        </w:tc>
        <w:tc>
          <w:tcPr>
            <w:tcW w:w="425" w:type="dxa"/>
            <w:tcBorders>
              <w:top w:val="single" w:sz="4" w:space="0" w:color="auto"/>
              <w:left w:val="nil"/>
              <w:bottom w:val="single" w:sz="4" w:space="0" w:color="auto"/>
              <w:right w:val="single" w:sz="4" w:space="0" w:color="auto"/>
            </w:tcBorders>
            <w:shd w:val="clear" w:color="FFFFFF" w:fill="BFBFBF"/>
            <w:noWrap/>
            <w:vAlign w:val="bottom"/>
            <w:hideMark/>
          </w:tcPr>
          <w:p w:rsidR="00A423AB" w:rsidRPr="00726904" w:rsidRDefault="00A423AB" w:rsidP="00910A1A">
            <w:pPr>
              <w:jc w:val="center"/>
              <w:rPr>
                <w:rFonts w:eastAsia="Times New Roman" w:cs="Calibri"/>
                <w:b/>
                <w:sz w:val="20"/>
                <w:szCs w:val="20"/>
                <w:lang w:eastAsia="es-ES"/>
              </w:rPr>
            </w:pPr>
            <w:r w:rsidRPr="00726904">
              <w:rPr>
                <w:rFonts w:eastAsia="Times New Roman" w:cs="Calibri"/>
                <w:b/>
                <w:sz w:val="20"/>
                <w:szCs w:val="20"/>
                <w:lang w:eastAsia="es-ES"/>
              </w:rPr>
              <w:t>DH</w:t>
            </w:r>
          </w:p>
        </w:tc>
        <w:tc>
          <w:tcPr>
            <w:tcW w:w="459" w:type="dxa"/>
            <w:tcBorders>
              <w:top w:val="single" w:sz="4" w:space="0" w:color="auto"/>
              <w:left w:val="nil"/>
              <w:bottom w:val="single" w:sz="4" w:space="0" w:color="auto"/>
              <w:right w:val="single" w:sz="4" w:space="0" w:color="auto"/>
            </w:tcBorders>
            <w:shd w:val="clear" w:color="FFFFFF" w:fill="BFBFBF"/>
            <w:noWrap/>
            <w:vAlign w:val="bottom"/>
            <w:hideMark/>
          </w:tcPr>
          <w:p w:rsidR="00A423AB" w:rsidRPr="00726904" w:rsidRDefault="00A423AB" w:rsidP="00910A1A">
            <w:pPr>
              <w:jc w:val="center"/>
              <w:rPr>
                <w:rFonts w:eastAsia="Times New Roman" w:cs="Calibri"/>
                <w:b/>
                <w:sz w:val="20"/>
                <w:szCs w:val="20"/>
                <w:lang w:eastAsia="es-ES"/>
              </w:rPr>
            </w:pPr>
            <w:r w:rsidRPr="00726904">
              <w:rPr>
                <w:rFonts w:eastAsia="Times New Roman" w:cs="Calibri"/>
                <w:b/>
                <w:sz w:val="20"/>
                <w:szCs w:val="20"/>
                <w:lang w:eastAsia="es-ES"/>
              </w:rPr>
              <w:t>UH</w:t>
            </w:r>
          </w:p>
        </w:tc>
        <w:tc>
          <w:tcPr>
            <w:tcW w:w="447" w:type="dxa"/>
            <w:tcBorders>
              <w:top w:val="single" w:sz="4" w:space="0" w:color="auto"/>
              <w:left w:val="nil"/>
              <w:bottom w:val="single" w:sz="4" w:space="0" w:color="auto"/>
              <w:right w:val="single" w:sz="4" w:space="0" w:color="auto"/>
            </w:tcBorders>
            <w:shd w:val="clear" w:color="FFFFFF" w:fill="BFBFBF"/>
            <w:noWrap/>
            <w:vAlign w:val="bottom"/>
            <w:hideMark/>
          </w:tcPr>
          <w:p w:rsidR="00A423AB" w:rsidRPr="00726904" w:rsidRDefault="00A423AB" w:rsidP="00910A1A">
            <w:pPr>
              <w:jc w:val="center"/>
              <w:rPr>
                <w:rFonts w:eastAsia="Times New Roman" w:cs="Calibri"/>
                <w:b/>
                <w:sz w:val="20"/>
                <w:szCs w:val="20"/>
                <w:lang w:eastAsia="es-ES"/>
              </w:rPr>
            </w:pPr>
            <w:r w:rsidRPr="00726904">
              <w:rPr>
                <w:rFonts w:eastAsia="Times New Roman" w:cs="Calibri"/>
                <w:b/>
                <w:sz w:val="20"/>
                <w:szCs w:val="20"/>
                <w:lang w:eastAsia="es-ES"/>
              </w:rPr>
              <w:t>SCP</w:t>
            </w:r>
          </w:p>
        </w:tc>
        <w:tc>
          <w:tcPr>
            <w:tcW w:w="969" w:type="dxa"/>
            <w:tcBorders>
              <w:top w:val="single" w:sz="4" w:space="0" w:color="auto"/>
              <w:left w:val="nil"/>
              <w:bottom w:val="single" w:sz="4" w:space="0" w:color="auto"/>
              <w:right w:val="single" w:sz="4" w:space="0" w:color="auto"/>
            </w:tcBorders>
            <w:shd w:val="clear" w:color="FFFFFF" w:fill="BFBFBF"/>
            <w:noWrap/>
            <w:vAlign w:val="bottom"/>
            <w:hideMark/>
          </w:tcPr>
          <w:p w:rsidR="00A423AB" w:rsidRPr="00726904" w:rsidRDefault="00A423AB" w:rsidP="00910A1A">
            <w:pPr>
              <w:jc w:val="center"/>
              <w:rPr>
                <w:rFonts w:eastAsia="Times New Roman" w:cs="Calibri"/>
                <w:b/>
                <w:sz w:val="20"/>
                <w:szCs w:val="20"/>
                <w:lang w:eastAsia="es-ES"/>
              </w:rPr>
            </w:pPr>
            <w:r w:rsidRPr="00726904">
              <w:rPr>
                <w:rFonts w:eastAsia="Times New Roman" w:cs="Calibri"/>
                <w:b/>
                <w:sz w:val="20"/>
                <w:szCs w:val="20"/>
                <w:lang w:eastAsia="es-ES"/>
              </w:rPr>
              <w:t>Biosimilar</w:t>
            </w:r>
          </w:p>
        </w:tc>
        <w:tc>
          <w:tcPr>
            <w:tcW w:w="1134" w:type="dxa"/>
            <w:tcBorders>
              <w:top w:val="single" w:sz="4" w:space="0" w:color="auto"/>
              <w:left w:val="nil"/>
              <w:bottom w:val="single" w:sz="4" w:space="0" w:color="auto"/>
              <w:right w:val="single" w:sz="4" w:space="0" w:color="auto"/>
            </w:tcBorders>
            <w:shd w:val="clear" w:color="FFFFFF" w:fill="BFBFBF"/>
            <w:noWrap/>
            <w:vAlign w:val="bottom"/>
            <w:hideMark/>
          </w:tcPr>
          <w:p w:rsidR="00A423AB" w:rsidRPr="00726904" w:rsidRDefault="00A423AB" w:rsidP="00910A1A">
            <w:pPr>
              <w:jc w:val="center"/>
              <w:rPr>
                <w:rFonts w:eastAsia="Times New Roman" w:cs="Calibri"/>
                <w:b/>
                <w:sz w:val="20"/>
                <w:szCs w:val="20"/>
                <w:lang w:eastAsia="es-ES"/>
              </w:rPr>
            </w:pPr>
            <w:r w:rsidRPr="00726904">
              <w:rPr>
                <w:rFonts w:eastAsia="Times New Roman" w:cs="Calibri"/>
                <w:b/>
                <w:sz w:val="20"/>
                <w:szCs w:val="20"/>
                <w:lang w:eastAsia="es-ES"/>
              </w:rPr>
              <w:t>Huérfano</w:t>
            </w:r>
          </w:p>
        </w:tc>
      </w:tr>
      <w:tr w:rsidR="00726904" w:rsidRPr="00726904" w:rsidTr="00910A1A">
        <w:trPr>
          <w:trHeight w:val="520"/>
        </w:trPr>
        <w:tc>
          <w:tcPr>
            <w:tcW w:w="851" w:type="dxa"/>
            <w:tcBorders>
              <w:top w:val="nil"/>
              <w:left w:val="single" w:sz="4" w:space="0" w:color="auto"/>
              <w:bottom w:val="single" w:sz="4" w:space="0" w:color="auto"/>
              <w:right w:val="single" w:sz="4" w:space="0" w:color="auto"/>
            </w:tcBorders>
            <w:shd w:val="clear" w:color="FFFFFF" w:fill="FFFFFF"/>
            <w:noWrap/>
            <w:vAlign w:val="bottom"/>
          </w:tcPr>
          <w:p w:rsidR="00A423AB" w:rsidRPr="00726904" w:rsidRDefault="00A423AB" w:rsidP="00910A1A">
            <w:pPr>
              <w:jc w:val="right"/>
              <w:rPr>
                <w:rFonts w:eastAsia="Times New Roman" w:cs="Calibri"/>
                <w:sz w:val="20"/>
                <w:szCs w:val="20"/>
                <w:lang w:eastAsia="es-ES"/>
              </w:rPr>
            </w:pPr>
            <w:r w:rsidRPr="00726904">
              <w:rPr>
                <w:rFonts w:eastAsia="Times New Roman" w:cs="Calibri"/>
                <w:sz w:val="20"/>
                <w:szCs w:val="20"/>
                <w:lang w:eastAsia="es-ES"/>
              </w:rPr>
              <w:t>763991</w:t>
            </w:r>
          </w:p>
        </w:tc>
        <w:tc>
          <w:tcPr>
            <w:tcW w:w="4787" w:type="dxa"/>
            <w:tcBorders>
              <w:top w:val="nil"/>
              <w:left w:val="nil"/>
              <w:bottom w:val="single" w:sz="4" w:space="0" w:color="auto"/>
              <w:right w:val="single" w:sz="4" w:space="0" w:color="auto"/>
            </w:tcBorders>
            <w:shd w:val="clear" w:color="FFFFFF" w:fill="FFFFFF"/>
            <w:vAlign w:val="bottom"/>
          </w:tcPr>
          <w:p w:rsidR="00A423AB" w:rsidRPr="00726904" w:rsidRDefault="00A423AB" w:rsidP="00910A1A">
            <w:pPr>
              <w:rPr>
                <w:rFonts w:eastAsia="Times New Roman" w:cs="Calibri"/>
                <w:sz w:val="20"/>
                <w:szCs w:val="20"/>
                <w:lang w:eastAsia="es-ES"/>
              </w:rPr>
            </w:pPr>
            <w:r w:rsidRPr="00726904">
              <w:rPr>
                <w:rFonts w:eastAsia="Times New Roman" w:cs="Calibri"/>
                <w:sz w:val="20"/>
                <w:szCs w:val="20"/>
                <w:lang w:eastAsia="es-ES"/>
              </w:rPr>
              <w:t>VARENICLINA NORMON 0,5MG + 1MG (11 X 0,5MG + 42 X 1MG) 53 COMPRIMIDOS RECUBIERTOS CON PELÍCULA EFG</w:t>
            </w:r>
          </w:p>
        </w:tc>
        <w:tc>
          <w:tcPr>
            <w:tcW w:w="425"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rPr>
                <w:rFonts w:eastAsia="Times New Roman" w:cs="Calibri"/>
                <w:sz w:val="20"/>
                <w:szCs w:val="20"/>
                <w:lang w:eastAsia="es-ES"/>
              </w:rPr>
            </w:pPr>
          </w:p>
        </w:tc>
        <w:tc>
          <w:tcPr>
            <w:tcW w:w="459"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rPr>
                <w:rFonts w:asciiTheme="minorHAnsi" w:hAnsiTheme="minorHAnsi" w:cs="Courier New"/>
                <w:sz w:val="20"/>
                <w:szCs w:val="20"/>
              </w:rPr>
            </w:pPr>
          </w:p>
        </w:tc>
        <w:tc>
          <w:tcPr>
            <w:tcW w:w="447"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rPr>
                <w:rFonts w:eastAsia="Times New Roman" w:cs="Calibri"/>
                <w:sz w:val="20"/>
                <w:szCs w:val="20"/>
                <w:lang w:eastAsia="es-ES"/>
              </w:rPr>
            </w:pPr>
          </w:p>
        </w:tc>
        <w:tc>
          <w:tcPr>
            <w:tcW w:w="969"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rPr>
                <w:rFonts w:eastAsia="Times New Roman" w:cs="Calibri"/>
                <w:sz w:val="20"/>
                <w:szCs w:val="20"/>
                <w:lang w:eastAsia="es-ES"/>
              </w:rPr>
            </w:pPr>
          </w:p>
        </w:tc>
      </w:tr>
      <w:tr w:rsidR="00726904" w:rsidRPr="00726904" w:rsidTr="00A423AB">
        <w:trPr>
          <w:trHeight w:val="520"/>
        </w:trPr>
        <w:tc>
          <w:tcPr>
            <w:tcW w:w="851" w:type="dxa"/>
            <w:tcBorders>
              <w:top w:val="nil"/>
              <w:left w:val="single" w:sz="4" w:space="0" w:color="auto"/>
              <w:bottom w:val="single" w:sz="4" w:space="0" w:color="auto"/>
              <w:right w:val="single" w:sz="4" w:space="0" w:color="auto"/>
            </w:tcBorders>
            <w:shd w:val="clear" w:color="FFFFFF" w:fill="FFFFFF"/>
            <w:noWrap/>
            <w:vAlign w:val="bottom"/>
          </w:tcPr>
          <w:p w:rsidR="00A423AB" w:rsidRPr="00726904" w:rsidRDefault="00A423AB" w:rsidP="00910A1A">
            <w:pPr>
              <w:jc w:val="right"/>
              <w:rPr>
                <w:rFonts w:eastAsia="Times New Roman" w:cs="Calibri"/>
                <w:sz w:val="20"/>
                <w:szCs w:val="20"/>
                <w:lang w:eastAsia="es-ES"/>
              </w:rPr>
            </w:pPr>
            <w:r w:rsidRPr="00726904">
              <w:rPr>
                <w:rFonts w:eastAsia="Times New Roman" w:cs="Calibri"/>
                <w:sz w:val="20"/>
                <w:szCs w:val="20"/>
                <w:lang w:eastAsia="es-ES"/>
              </w:rPr>
              <w:t>763989</w:t>
            </w:r>
          </w:p>
        </w:tc>
        <w:tc>
          <w:tcPr>
            <w:tcW w:w="4787" w:type="dxa"/>
            <w:tcBorders>
              <w:top w:val="nil"/>
              <w:left w:val="nil"/>
              <w:bottom w:val="single" w:sz="4" w:space="0" w:color="auto"/>
              <w:right w:val="single" w:sz="4" w:space="0" w:color="auto"/>
            </w:tcBorders>
            <w:shd w:val="clear" w:color="FFFFFF" w:fill="FFFFFF"/>
            <w:vAlign w:val="bottom"/>
          </w:tcPr>
          <w:p w:rsidR="00A423AB" w:rsidRPr="00726904" w:rsidRDefault="00A423AB" w:rsidP="00910A1A">
            <w:pPr>
              <w:rPr>
                <w:rFonts w:eastAsia="Times New Roman" w:cs="Calibri"/>
                <w:sz w:val="20"/>
                <w:szCs w:val="20"/>
                <w:lang w:eastAsia="es-ES"/>
              </w:rPr>
            </w:pPr>
            <w:r w:rsidRPr="00726904">
              <w:rPr>
                <w:rFonts w:eastAsia="Times New Roman" w:cs="Calibri"/>
                <w:sz w:val="20"/>
                <w:szCs w:val="20"/>
                <w:lang w:eastAsia="es-ES"/>
              </w:rPr>
              <w:t>VARENICLINA NORMON 1MG 56 COMPRIMIDOS RECUBIERTOS CON PELÍCULA EFG</w:t>
            </w:r>
          </w:p>
        </w:tc>
        <w:tc>
          <w:tcPr>
            <w:tcW w:w="425"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rPr>
                <w:rFonts w:eastAsia="Times New Roman" w:cs="Calibri"/>
                <w:sz w:val="20"/>
                <w:szCs w:val="20"/>
                <w:lang w:eastAsia="es-ES"/>
              </w:rPr>
            </w:pPr>
          </w:p>
        </w:tc>
        <w:tc>
          <w:tcPr>
            <w:tcW w:w="459"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pPr>
          </w:p>
        </w:tc>
        <w:tc>
          <w:tcPr>
            <w:tcW w:w="447"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rPr>
                <w:rFonts w:eastAsia="Times New Roman" w:cs="Calibri"/>
                <w:sz w:val="20"/>
                <w:szCs w:val="20"/>
                <w:lang w:eastAsia="es-ES"/>
              </w:rPr>
            </w:pPr>
          </w:p>
        </w:tc>
        <w:tc>
          <w:tcPr>
            <w:tcW w:w="969"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rPr>
                <w:rFonts w:eastAsia="Times New Roman" w:cs="Calibri"/>
                <w:sz w:val="20"/>
                <w:szCs w:val="20"/>
                <w:lang w:eastAsia="es-ES"/>
              </w:rPr>
            </w:pPr>
          </w:p>
        </w:tc>
      </w:tr>
      <w:tr w:rsidR="00726904" w:rsidRPr="00726904" w:rsidTr="00A423AB">
        <w:trPr>
          <w:trHeight w:val="520"/>
        </w:trPr>
        <w:tc>
          <w:tcPr>
            <w:tcW w:w="851" w:type="dxa"/>
            <w:tcBorders>
              <w:top w:val="nil"/>
              <w:left w:val="single" w:sz="4" w:space="0" w:color="auto"/>
              <w:bottom w:val="single" w:sz="4" w:space="0" w:color="auto"/>
              <w:right w:val="single" w:sz="4" w:space="0" w:color="auto"/>
            </w:tcBorders>
            <w:shd w:val="clear" w:color="FFFFFF" w:fill="FFFFFF"/>
            <w:noWrap/>
            <w:vAlign w:val="bottom"/>
          </w:tcPr>
          <w:p w:rsidR="00A423AB" w:rsidRPr="00726904" w:rsidRDefault="00A423AB" w:rsidP="00910A1A">
            <w:pPr>
              <w:jc w:val="right"/>
              <w:rPr>
                <w:rFonts w:eastAsia="Times New Roman" w:cs="Calibri"/>
                <w:sz w:val="20"/>
                <w:szCs w:val="20"/>
                <w:lang w:eastAsia="es-ES"/>
              </w:rPr>
            </w:pPr>
            <w:r w:rsidRPr="00726904">
              <w:rPr>
                <w:rFonts w:eastAsia="Times New Roman" w:cs="Calibri"/>
                <w:sz w:val="20"/>
                <w:szCs w:val="20"/>
                <w:lang w:eastAsia="es-ES"/>
              </w:rPr>
              <w:t>763988</w:t>
            </w:r>
          </w:p>
        </w:tc>
        <w:tc>
          <w:tcPr>
            <w:tcW w:w="4787" w:type="dxa"/>
            <w:tcBorders>
              <w:top w:val="nil"/>
              <w:left w:val="nil"/>
              <w:bottom w:val="single" w:sz="4" w:space="0" w:color="auto"/>
              <w:right w:val="single" w:sz="4" w:space="0" w:color="auto"/>
            </w:tcBorders>
            <w:shd w:val="clear" w:color="FFFFFF" w:fill="FFFFFF"/>
            <w:vAlign w:val="bottom"/>
          </w:tcPr>
          <w:p w:rsidR="00A423AB" w:rsidRPr="00726904" w:rsidRDefault="00A423AB" w:rsidP="00910A1A">
            <w:pPr>
              <w:rPr>
                <w:rFonts w:eastAsia="Times New Roman" w:cs="Calibri"/>
                <w:sz w:val="20"/>
                <w:szCs w:val="20"/>
                <w:lang w:eastAsia="es-ES"/>
              </w:rPr>
            </w:pPr>
            <w:r w:rsidRPr="00726904">
              <w:rPr>
                <w:rFonts w:eastAsia="Times New Roman" w:cs="Calibri"/>
                <w:sz w:val="20"/>
                <w:szCs w:val="20"/>
                <w:lang w:eastAsia="es-ES"/>
              </w:rPr>
              <w:t>VARENICLINA NORMON 0,5MG 56 COMPRIMIDOS RECUBIERTOS CON PELÍCULA EFG</w:t>
            </w:r>
          </w:p>
        </w:tc>
        <w:tc>
          <w:tcPr>
            <w:tcW w:w="425"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rPr>
                <w:rFonts w:eastAsia="Times New Roman" w:cs="Calibri"/>
                <w:sz w:val="20"/>
                <w:szCs w:val="20"/>
                <w:lang w:eastAsia="es-ES"/>
              </w:rPr>
            </w:pPr>
          </w:p>
        </w:tc>
        <w:tc>
          <w:tcPr>
            <w:tcW w:w="459"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pPr>
          </w:p>
        </w:tc>
        <w:tc>
          <w:tcPr>
            <w:tcW w:w="447"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rPr>
                <w:rFonts w:eastAsia="Times New Roman" w:cs="Calibri"/>
                <w:sz w:val="20"/>
                <w:szCs w:val="20"/>
                <w:lang w:eastAsia="es-ES"/>
              </w:rPr>
            </w:pPr>
          </w:p>
        </w:tc>
        <w:tc>
          <w:tcPr>
            <w:tcW w:w="969"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rPr>
                <w:rFonts w:eastAsia="Times New Roman" w:cs="Calibri"/>
                <w:sz w:val="20"/>
                <w:szCs w:val="20"/>
                <w:lang w:eastAsia="es-ES"/>
              </w:rPr>
            </w:pPr>
          </w:p>
        </w:tc>
        <w:tc>
          <w:tcPr>
            <w:tcW w:w="1134" w:type="dxa"/>
            <w:tcBorders>
              <w:top w:val="nil"/>
              <w:left w:val="nil"/>
              <w:bottom w:val="single" w:sz="4" w:space="0" w:color="auto"/>
              <w:right w:val="single" w:sz="4" w:space="0" w:color="auto"/>
            </w:tcBorders>
            <w:shd w:val="clear" w:color="FFFFFF" w:fill="FFFFFF"/>
            <w:noWrap/>
            <w:vAlign w:val="center"/>
          </w:tcPr>
          <w:p w:rsidR="00A423AB" w:rsidRPr="00726904" w:rsidRDefault="00A423AB" w:rsidP="00910A1A">
            <w:pPr>
              <w:jc w:val="center"/>
              <w:rPr>
                <w:rFonts w:eastAsia="Times New Roman" w:cs="Calibri"/>
                <w:sz w:val="20"/>
                <w:szCs w:val="20"/>
                <w:lang w:eastAsia="es-ES"/>
              </w:rPr>
            </w:pPr>
          </w:p>
        </w:tc>
      </w:tr>
    </w:tbl>
    <w:p w:rsidR="004D613C" w:rsidRDefault="004D613C" w:rsidP="00E3449E">
      <w:pPr>
        <w:ind w:left="207"/>
        <w:jc w:val="both"/>
        <w:rPr>
          <w:rFonts w:asciiTheme="minorHAnsi" w:hAnsiTheme="minorHAnsi" w:cstheme="minorHAnsi"/>
        </w:rPr>
      </w:pPr>
    </w:p>
    <w:p w:rsidR="004D613C" w:rsidRPr="004D613C" w:rsidRDefault="004D613C" w:rsidP="004D613C">
      <w:pPr>
        <w:numPr>
          <w:ilvl w:val="0"/>
          <w:numId w:val="42"/>
        </w:numPr>
        <w:ind w:left="851"/>
        <w:jc w:val="both"/>
        <w:rPr>
          <w:rFonts w:asciiTheme="minorHAnsi" w:hAnsiTheme="minorHAnsi" w:cstheme="minorHAnsi"/>
        </w:rPr>
      </w:pPr>
      <w:r w:rsidRPr="004D613C">
        <w:rPr>
          <w:rFonts w:asciiTheme="minorHAnsi" w:hAnsiTheme="minorHAnsi" w:cstheme="minorHAnsi"/>
        </w:rPr>
        <w:t xml:space="preserve">Medicamentos financiados </w:t>
      </w:r>
      <w:r w:rsidRPr="004D613C">
        <w:rPr>
          <w:rFonts w:asciiTheme="minorHAnsi" w:hAnsiTheme="minorHAnsi" w:cstheme="minorHAnsi"/>
          <w:u w:val="single"/>
        </w:rPr>
        <w:t>exclusivamente para las indicaciones establecidas</w:t>
      </w:r>
      <w:r w:rsidRPr="004D613C">
        <w:rPr>
          <w:rFonts w:asciiTheme="minorHAnsi" w:hAnsiTheme="minorHAnsi" w:cstheme="minorHAnsi"/>
        </w:rPr>
        <w:t>, de acuerdo al apartado 3 de la Resolución de 2 de agosto de 2012 de la Dirección General de Cartera Básica de Servicios del SNS y Farmacia, se les mantiene el precio de comercialización con cargo al SNS, y para su comercialización fuera del SNS se les ha revisado el precio notificado:</w:t>
      </w:r>
    </w:p>
    <w:p w:rsidR="004D613C" w:rsidRDefault="004D613C" w:rsidP="00E3449E">
      <w:pPr>
        <w:ind w:left="207"/>
        <w:jc w:val="both"/>
        <w:rPr>
          <w:rFonts w:asciiTheme="minorHAnsi" w:hAnsiTheme="minorHAnsi" w:cstheme="minorHAnsi"/>
        </w:rPr>
      </w:pP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7229"/>
      </w:tblGrid>
      <w:tr w:rsidR="00993917" w:rsidRPr="00993917" w:rsidTr="00993917">
        <w:trPr>
          <w:trHeight w:val="288"/>
        </w:trPr>
        <w:tc>
          <w:tcPr>
            <w:tcW w:w="1276" w:type="dxa"/>
            <w:shd w:val="clear" w:color="auto" w:fill="BFBFBF" w:themeFill="background1" w:themeFillShade="BF"/>
            <w:noWrap/>
            <w:vAlign w:val="center"/>
          </w:tcPr>
          <w:p w:rsidR="00993917" w:rsidRPr="00993917" w:rsidRDefault="00993917" w:rsidP="00993917">
            <w:pPr>
              <w:jc w:val="center"/>
              <w:rPr>
                <w:rFonts w:asciiTheme="minorHAnsi" w:eastAsia="Times New Roman" w:hAnsiTheme="minorHAnsi" w:cstheme="minorHAnsi"/>
                <w:b/>
                <w:lang w:eastAsia="es-ES"/>
              </w:rPr>
            </w:pPr>
            <w:r w:rsidRPr="00993917">
              <w:rPr>
                <w:rFonts w:asciiTheme="minorHAnsi" w:eastAsia="Times New Roman" w:hAnsiTheme="minorHAnsi" w:cstheme="minorHAnsi"/>
                <w:b/>
                <w:lang w:eastAsia="es-ES"/>
              </w:rPr>
              <w:t>CN</w:t>
            </w:r>
          </w:p>
        </w:tc>
        <w:tc>
          <w:tcPr>
            <w:tcW w:w="7229" w:type="dxa"/>
            <w:shd w:val="clear" w:color="auto" w:fill="BFBFBF" w:themeFill="background1" w:themeFillShade="BF"/>
            <w:vAlign w:val="center"/>
          </w:tcPr>
          <w:p w:rsidR="00993917" w:rsidRPr="00993917" w:rsidRDefault="00993917" w:rsidP="00993917">
            <w:pPr>
              <w:jc w:val="center"/>
              <w:rPr>
                <w:rFonts w:asciiTheme="minorHAnsi" w:eastAsia="Times New Roman" w:hAnsiTheme="minorHAnsi" w:cstheme="minorHAnsi"/>
                <w:b/>
                <w:lang w:eastAsia="es-ES"/>
              </w:rPr>
            </w:pPr>
            <w:r w:rsidRPr="00993917">
              <w:rPr>
                <w:rFonts w:asciiTheme="minorHAnsi" w:eastAsia="Times New Roman" w:hAnsiTheme="minorHAnsi" w:cstheme="minorHAnsi"/>
                <w:b/>
                <w:lang w:eastAsia="es-ES"/>
              </w:rPr>
              <w:t>NOMBRE</w:t>
            </w:r>
          </w:p>
        </w:tc>
      </w:tr>
      <w:tr w:rsidR="00993917" w:rsidRPr="00993917" w:rsidTr="00993917">
        <w:trPr>
          <w:trHeight w:val="407"/>
        </w:trPr>
        <w:tc>
          <w:tcPr>
            <w:tcW w:w="1276" w:type="dxa"/>
            <w:shd w:val="clear" w:color="auto" w:fill="auto"/>
            <w:noWrap/>
            <w:vAlign w:val="center"/>
          </w:tcPr>
          <w:p w:rsidR="00993917" w:rsidRPr="00993917" w:rsidRDefault="00993917" w:rsidP="00993917">
            <w:pPr>
              <w:jc w:val="center"/>
              <w:rPr>
                <w:rFonts w:asciiTheme="minorHAnsi" w:eastAsia="Times New Roman" w:hAnsiTheme="minorHAnsi" w:cstheme="minorHAnsi"/>
                <w:lang w:eastAsia="es-ES"/>
              </w:rPr>
            </w:pPr>
            <w:r>
              <w:rPr>
                <w:rFonts w:asciiTheme="minorHAnsi" w:eastAsia="Times New Roman" w:hAnsiTheme="minorHAnsi" w:cstheme="minorHAnsi"/>
                <w:lang w:eastAsia="es-ES"/>
              </w:rPr>
              <w:t>650104</w:t>
            </w:r>
          </w:p>
        </w:tc>
        <w:tc>
          <w:tcPr>
            <w:tcW w:w="7229" w:type="dxa"/>
            <w:shd w:val="clear" w:color="auto" w:fill="auto"/>
            <w:vAlign w:val="center"/>
          </w:tcPr>
          <w:p w:rsidR="00993917" w:rsidRPr="00993917" w:rsidRDefault="00993917" w:rsidP="00993917">
            <w:pPr>
              <w:jc w:val="center"/>
              <w:rPr>
                <w:rFonts w:asciiTheme="minorHAnsi" w:eastAsia="Times New Roman" w:hAnsiTheme="minorHAnsi" w:cstheme="minorHAnsi"/>
                <w:lang w:eastAsia="es-ES"/>
              </w:rPr>
            </w:pPr>
            <w:r w:rsidRPr="00993917">
              <w:rPr>
                <w:rFonts w:asciiTheme="minorHAnsi" w:eastAsia="Times New Roman" w:hAnsiTheme="minorHAnsi" w:cstheme="minorHAnsi"/>
                <w:lang w:eastAsia="es-ES"/>
              </w:rPr>
              <w:t>PROPALCOF 15MG/ML 1 FRASCO DE 20 ML GOTAS ORALES EN SOLUCION</w:t>
            </w:r>
          </w:p>
        </w:tc>
      </w:tr>
    </w:tbl>
    <w:p w:rsidR="00E3449E" w:rsidRPr="00D5098C" w:rsidRDefault="00E3449E" w:rsidP="00E3449E">
      <w:pPr>
        <w:numPr>
          <w:ilvl w:val="0"/>
          <w:numId w:val="2"/>
        </w:numPr>
        <w:ind w:left="851"/>
        <w:jc w:val="both"/>
        <w:rPr>
          <w:rFonts w:asciiTheme="minorHAnsi" w:hAnsiTheme="minorHAnsi" w:cstheme="minorHAnsi"/>
        </w:rPr>
      </w:pPr>
      <w:r w:rsidRPr="00D5098C">
        <w:rPr>
          <w:rFonts w:asciiTheme="minorHAnsi" w:hAnsiTheme="minorHAnsi" w:cstheme="minorHAnsi"/>
        </w:rPr>
        <w:lastRenderedPageBreak/>
        <w:t xml:space="preserve">En este mes a determinados medicamentos </w:t>
      </w:r>
      <w:r w:rsidRPr="00D5098C">
        <w:rPr>
          <w:rFonts w:asciiTheme="minorHAnsi" w:hAnsiTheme="minorHAnsi" w:cstheme="minorHAnsi"/>
          <w:b/>
          <w:u w:val="single"/>
        </w:rPr>
        <w:t>excluidos</w:t>
      </w:r>
      <w:r w:rsidRPr="00D5098C">
        <w:rPr>
          <w:rFonts w:asciiTheme="minorHAnsi" w:hAnsiTheme="minorHAnsi" w:cstheme="minorHAnsi"/>
        </w:rPr>
        <w:t xml:space="preserve"> de la prestación farmacéutica del SNS, según Resolución de 2 de agosto de 2012 de la Dirección General de Cartera Básica de Servicios del SNS y Farmacia, se les ha asignado precio notificado. </w:t>
      </w:r>
    </w:p>
    <w:p w:rsidR="00E23866" w:rsidRPr="00D5098C" w:rsidRDefault="00E23866" w:rsidP="00E23866">
      <w:pPr>
        <w:jc w:val="both"/>
        <w:rPr>
          <w:rFonts w:asciiTheme="minorHAnsi" w:hAnsiTheme="minorHAnsi" w:cstheme="minorHAnsi"/>
        </w:rPr>
      </w:pPr>
    </w:p>
    <w:p w:rsidR="00A54FE0" w:rsidRDefault="00A54FE0" w:rsidP="00F065CF">
      <w:pPr>
        <w:pStyle w:val="Prrafodelista"/>
        <w:numPr>
          <w:ilvl w:val="0"/>
          <w:numId w:val="19"/>
        </w:numPr>
        <w:ind w:left="426" w:hanging="76"/>
        <w:jc w:val="both"/>
        <w:rPr>
          <w:rFonts w:asciiTheme="minorHAnsi" w:eastAsia="Times New Roman" w:hAnsiTheme="minorHAnsi" w:cstheme="minorHAnsi"/>
          <w:b/>
          <w:u w:val="single"/>
          <w:lang w:eastAsia="es-ES"/>
        </w:rPr>
      </w:pPr>
      <w:r w:rsidRPr="00D5098C">
        <w:rPr>
          <w:rFonts w:asciiTheme="minorHAnsi" w:eastAsia="Times New Roman" w:hAnsiTheme="minorHAnsi" w:cstheme="minorHAnsi"/>
          <w:b/>
          <w:u w:val="single"/>
          <w:lang w:eastAsia="es-ES"/>
        </w:rPr>
        <w:t>DEDUCCIONES REAL DECRETO LEY 8/2010</w:t>
      </w:r>
    </w:p>
    <w:p w:rsidR="00061341" w:rsidRPr="00061341" w:rsidRDefault="00061341" w:rsidP="00061341">
      <w:pPr>
        <w:ind w:left="360"/>
        <w:jc w:val="both"/>
        <w:rPr>
          <w:rFonts w:asciiTheme="minorHAnsi" w:hAnsiTheme="minorHAnsi" w:cs="Arial"/>
        </w:rPr>
      </w:pPr>
    </w:p>
    <w:p w:rsidR="00061341" w:rsidRPr="008165F5" w:rsidRDefault="00061341" w:rsidP="00061341">
      <w:pPr>
        <w:pStyle w:val="Prrafodelista"/>
        <w:numPr>
          <w:ilvl w:val="0"/>
          <w:numId w:val="2"/>
        </w:numPr>
        <w:ind w:left="720"/>
        <w:jc w:val="both"/>
        <w:rPr>
          <w:rFonts w:asciiTheme="minorHAnsi" w:hAnsiTheme="minorHAnsi" w:cs="Arial"/>
        </w:rPr>
      </w:pPr>
      <w:r w:rsidRPr="008165F5">
        <w:rPr>
          <w:rFonts w:asciiTheme="minorHAnsi" w:hAnsiTheme="minorHAnsi" w:cs="Arial"/>
        </w:rPr>
        <w:t xml:space="preserve">Este nomenclátor incluye la actualización de las deducciones del </w:t>
      </w:r>
      <w:r w:rsidRPr="008165F5">
        <w:rPr>
          <w:rFonts w:asciiTheme="minorHAnsi" w:hAnsiTheme="minorHAnsi" w:cs="Arial"/>
          <w:b/>
        </w:rPr>
        <w:t>15%</w:t>
      </w:r>
      <w:r w:rsidRPr="008165F5">
        <w:rPr>
          <w:rFonts w:asciiTheme="minorHAnsi" w:hAnsiTheme="minorHAnsi" w:cs="Arial"/>
        </w:rPr>
        <w:t xml:space="preserve"> de algunos medicamentos según el artículo 10 del Real Decreto Ley 8/2010, de 20 de mayo.</w:t>
      </w:r>
    </w:p>
    <w:p w:rsidR="00061341" w:rsidRPr="008165F5" w:rsidRDefault="00061341" w:rsidP="00061341">
      <w:pPr>
        <w:pStyle w:val="Prrafodelista"/>
        <w:numPr>
          <w:ilvl w:val="0"/>
          <w:numId w:val="2"/>
        </w:numPr>
        <w:ind w:left="720"/>
        <w:jc w:val="both"/>
        <w:rPr>
          <w:rFonts w:asciiTheme="minorHAnsi" w:hAnsiTheme="minorHAnsi" w:cs="Arial"/>
          <w:u w:val="single"/>
        </w:rPr>
      </w:pPr>
      <w:r w:rsidRPr="008165F5">
        <w:rPr>
          <w:rFonts w:asciiTheme="minorHAnsi" w:hAnsiTheme="minorHAnsi" w:cs="Arial"/>
        </w:rPr>
        <w:t>Se ha procedido a actualizar la deducción de</w:t>
      </w:r>
      <w:r>
        <w:rPr>
          <w:rFonts w:asciiTheme="minorHAnsi" w:hAnsiTheme="minorHAnsi" w:cs="Arial"/>
        </w:rPr>
        <w:t xml:space="preserve"> los </w:t>
      </w:r>
      <w:r w:rsidRPr="008165F5">
        <w:rPr>
          <w:rFonts w:asciiTheme="minorHAnsi" w:hAnsiTheme="minorHAnsi" w:cs="Arial"/>
        </w:rPr>
        <w:t>siguiente</w:t>
      </w:r>
      <w:r>
        <w:rPr>
          <w:rFonts w:asciiTheme="minorHAnsi" w:hAnsiTheme="minorHAnsi" w:cs="Arial"/>
        </w:rPr>
        <w:t>s</w:t>
      </w:r>
      <w:r w:rsidRPr="008165F5">
        <w:rPr>
          <w:rFonts w:asciiTheme="minorHAnsi" w:hAnsiTheme="minorHAnsi" w:cs="Arial"/>
        </w:rPr>
        <w:t xml:space="preserve"> medicamento</w:t>
      </w:r>
      <w:r>
        <w:rPr>
          <w:rFonts w:asciiTheme="minorHAnsi" w:hAnsiTheme="minorHAnsi" w:cs="Arial"/>
        </w:rPr>
        <w:t>s</w:t>
      </w:r>
      <w:r w:rsidRPr="008165F5">
        <w:rPr>
          <w:rFonts w:asciiTheme="minorHAnsi" w:hAnsiTheme="minorHAnsi" w:cs="Arial"/>
        </w:rPr>
        <w:t xml:space="preserve"> financiado</w:t>
      </w:r>
      <w:r>
        <w:rPr>
          <w:rFonts w:asciiTheme="minorHAnsi" w:hAnsiTheme="minorHAnsi" w:cs="Arial"/>
        </w:rPr>
        <w:t>s</w:t>
      </w:r>
      <w:r w:rsidRPr="008165F5">
        <w:rPr>
          <w:rFonts w:asciiTheme="minorHAnsi" w:hAnsiTheme="minorHAnsi" w:cs="Arial"/>
        </w:rPr>
        <w:t xml:space="preserve"> que </w:t>
      </w:r>
      <w:r w:rsidRPr="008165F5">
        <w:rPr>
          <w:rFonts w:asciiTheme="minorHAnsi" w:hAnsiTheme="minorHAnsi" w:cs="Arial"/>
          <w:u w:val="single"/>
        </w:rPr>
        <w:t>ha</w:t>
      </w:r>
      <w:r>
        <w:rPr>
          <w:rFonts w:asciiTheme="minorHAnsi" w:hAnsiTheme="minorHAnsi" w:cs="Arial"/>
          <w:u w:val="single"/>
        </w:rPr>
        <w:t>n</w:t>
      </w:r>
      <w:r w:rsidRPr="008165F5">
        <w:rPr>
          <w:rFonts w:asciiTheme="minorHAnsi" w:hAnsiTheme="minorHAnsi" w:cs="Arial"/>
          <w:u w:val="single"/>
        </w:rPr>
        <w:t xml:space="preserve"> dejado de tener la consideración de huérfano</w:t>
      </w:r>
      <w:r>
        <w:rPr>
          <w:rFonts w:asciiTheme="minorHAnsi" w:hAnsiTheme="minorHAnsi" w:cs="Arial"/>
          <w:u w:val="single"/>
        </w:rPr>
        <w:t>s</w:t>
      </w:r>
      <w:r w:rsidRPr="008165F5">
        <w:rPr>
          <w:rFonts w:asciiTheme="minorHAnsi" w:hAnsiTheme="minorHAnsi" w:cs="Arial"/>
          <w:u w:val="single"/>
        </w:rPr>
        <w:t>:</w:t>
      </w:r>
    </w:p>
    <w:p w:rsidR="00D02D97" w:rsidRDefault="00D02D97" w:rsidP="00A842FA">
      <w:pPr>
        <w:ind w:left="334"/>
        <w:jc w:val="both"/>
        <w:rPr>
          <w:rFonts w:asciiTheme="minorHAnsi" w:hAnsiTheme="minorHAnsi" w:cs="Arial"/>
        </w:rPr>
      </w:pPr>
    </w:p>
    <w:p w:rsidR="00D02D97" w:rsidRDefault="00D02D97" w:rsidP="00A842FA">
      <w:pPr>
        <w:ind w:left="334"/>
        <w:jc w:val="both"/>
        <w:rPr>
          <w:rFonts w:asciiTheme="minorHAnsi" w:hAnsiTheme="minorHAnsi" w:cs="Arial"/>
        </w:rPr>
      </w:pPr>
    </w:p>
    <w:tbl>
      <w:tblPr>
        <w:tblW w:w="89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3"/>
        <w:gridCol w:w="6462"/>
        <w:gridCol w:w="1275"/>
      </w:tblGrid>
      <w:tr w:rsidR="00061341" w:rsidRPr="00061341" w:rsidTr="00DA5890">
        <w:trPr>
          <w:trHeight w:val="273"/>
        </w:trPr>
        <w:tc>
          <w:tcPr>
            <w:tcW w:w="1193" w:type="dxa"/>
            <w:shd w:val="clear" w:color="auto" w:fill="BFBFBF" w:themeFill="background1" w:themeFillShade="BF"/>
            <w:vAlign w:val="center"/>
            <w:hideMark/>
          </w:tcPr>
          <w:p w:rsidR="00061341" w:rsidRPr="00D02D97" w:rsidRDefault="00061341" w:rsidP="00061341">
            <w:pPr>
              <w:jc w:val="center"/>
              <w:rPr>
                <w:rFonts w:asciiTheme="minorHAnsi" w:eastAsia="Times New Roman" w:hAnsiTheme="minorHAnsi" w:cstheme="minorHAnsi"/>
                <w:b/>
                <w:bCs/>
                <w:sz w:val="20"/>
                <w:szCs w:val="20"/>
                <w:lang w:eastAsia="es-ES"/>
              </w:rPr>
            </w:pPr>
            <w:r w:rsidRPr="00061341">
              <w:rPr>
                <w:rFonts w:asciiTheme="minorHAnsi" w:eastAsia="Times New Roman" w:hAnsiTheme="minorHAnsi" w:cstheme="minorHAnsi"/>
                <w:b/>
                <w:bCs/>
                <w:sz w:val="20"/>
                <w:szCs w:val="20"/>
                <w:lang w:eastAsia="es-ES"/>
              </w:rPr>
              <w:t>CN</w:t>
            </w:r>
          </w:p>
        </w:tc>
        <w:tc>
          <w:tcPr>
            <w:tcW w:w="6462" w:type="dxa"/>
            <w:shd w:val="clear" w:color="auto" w:fill="BFBFBF" w:themeFill="background1" w:themeFillShade="BF"/>
            <w:vAlign w:val="center"/>
            <w:hideMark/>
          </w:tcPr>
          <w:p w:rsidR="00061341" w:rsidRPr="00D02D97" w:rsidRDefault="00061341" w:rsidP="00061341">
            <w:pPr>
              <w:jc w:val="center"/>
              <w:rPr>
                <w:rFonts w:asciiTheme="minorHAnsi" w:eastAsia="Times New Roman" w:hAnsiTheme="minorHAnsi" w:cstheme="minorHAnsi"/>
                <w:b/>
                <w:bCs/>
                <w:sz w:val="20"/>
                <w:szCs w:val="20"/>
                <w:lang w:eastAsia="es-ES"/>
              </w:rPr>
            </w:pPr>
            <w:r w:rsidRPr="00061341">
              <w:rPr>
                <w:rFonts w:asciiTheme="minorHAnsi" w:eastAsia="Times New Roman" w:hAnsiTheme="minorHAnsi" w:cstheme="minorHAnsi"/>
                <w:b/>
                <w:bCs/>
                <w:sz w:val="20"/>
                <w:szCs w:val="20"/>
                <w:lang w:eastAsia="es-ES"/>
              </w:rPr>
              <w:t>NOMBRE</w:t>
            </w:r>
          </w:p>
        </w:tc>
        <w:tc>
          <w:tcPr>
            <w:tcW w:w="1275" w:type="dxa"/>
            <w:shd w:val="clear" w:color="auto" w:fill="BFBFBF" w:themeFill="background1" w:themeFillShade="BF"/>
            <w:vAlign w:val="center"/>
          </w:tcPr>
          <w:p w:rsidR="00061341" w:rsidRPr="00061341" w:rsidRDefault="00061341" w:rsidP="00061341">
            <w:pPr>
              <w:jc w:val="center"/>
              <w:rPr>
                <w:rFonts w:asciiTheme="minorHAnsi" w:eastAsia="Times New Roman" w:hAnsiTheme="minorHAnsi" w:cstheme="minorHAnsi"/>
                <w:b/>
                <w:bCs/>
                <w:sz w:val="20"/>
                <w:szCs w:val="20"/>
                <w:lang w:eastAsia="es-ES"/>
              </w:rPr>
            </w:pPr>
            <w:r w:rsidRPr="00061341">
              <w:rPr>
                <w:rFonts w:asciiTheme="minorHAnsi" w:eastAsia="Times New Roman" w:hAnsiTheme="minorHAnsi" w:cstheme="minorHAnsi"/>
                <w:b/>
                <w:bCs/>
                <w:sz w:val="20"/>
                <w:szCs w:val="20"/>
                <w:lang w:eastAsia="es-ES"/>
              </w:rPr>
              <w:t>DEDUCCIÓN</w:t>
            </w:r>
          </w:p>
        </w:tc>
      </w:tr>
      <w:tr w:rsidR="00061341" w:rsidRPr="00061341" w:rsidTr="00061341">
        <w:trPr>
          <w:trHeight w:val="479"/>
        </w:trPr>
        <w:tc>
          <w:tcPr>
            <w:tcW w:w="1193" w:type="dxa"/>
            <w:shd w:val="clear" w:color="auto" w:fill="auto"/>
            <w:noWrap/>
            <w:vAlign w:val="center"/>
            <w:hideMark/>
          </w:tcPr>
          <w:p w:rsidR="00061341" w:rsidRPr="00D02D97" w:rsidRDefault="00061341" w:rsidP="00061341">
            <w:pPr>
              <w:jc w:val="center"/>
              <w:rPr>
                <w:rFonts w:asciiTheme="minorHAnsi" w:eastAsia="Times New Roman" w:hAnsiTheme="minorHAnsi" w:cstheme="minorHAnsi"/>
                <w:bCs/>
                <w:sz w:val="20"/>
                <w:szCs w:val="20"/>
                <w:lang w:eastAsia="es-ES"/>
              </w:rPr>
            </w:pPr>
            <w:r w:rsidRPr="00D02D97">
              <w:rPr>
                <w:rFonts w:asciiTheme="minorHAnsi" w:eastAsia="Times New Roman" w:hAnsiTheme="minorHAnsi" w:cstheme="minorHAnsi"/>
                <w:bCs/>
                <w:sz w:val="20"/>
                <w:szCs w:val="20"/>
                <w:lang w:eastAsia="es-ES"/>
              </w:rPr>
              <w:t>695032</w:t>
            </w:r>
          </w:p>
        </w:tc>
        <w:tc>
          <w:tcPr>
            <w:tcW w:w="6462" w:type="dxa"/>
            <w:shd w:val="clear" w:color="auto" w:fill="auto"/>
            <w:vAlign w:val="bottom"/>
            <w:hideMark/>
          </w:tcPr>
          <w:p w:rsidR="00061341" w:rsidRPr="00D02D97" w:rsidRDefault="00061341" w:rsidP="00061341">
            <w:pPr>
              <w:rPr>
                <w:rFonts w:asciiTheme="minorHAnsi" w:eastAsia="Times New Roman" w:hAnsiTheme="minorHAnsi" w:cstheme="minorHAnsi"/>
                <w:bCs/>
                <w:sz w:val="20"/>
                <w:szCs w:val="20"/>
                <w:lang w:eastAsia="es-ES"/>
              </w:rPr>
            </w:pPr>
            <w:r w:rsidRPr="00D02D97">
              <w:rPr>
                <w:rFonts w:asciiTheme="minorHAnsi" w:eastAsia="Times New Roman" w:hAnsiTheme="minorHAnsi" w:cstheme="minorHAnsi"/>
                <w:bCs/>
                <w:sz w:val="20"/>
                <w:szCs w:val="20"/>
                <w:lang w:eastAsia="es-ES"/>
              </w:rPr>
              <w:t xml:space="preserve">ADCETRIS 50MG </w:t>
            </w:r>
            <w:r>
              <w:rPr>
                <w:rFonts w:asciiTheme="minorHAnsi" w:eastAsia="Times New Roman" w:hAnsiTheme="minorHAnsi" w:cstheme="minorHAnsi"/>
                <w:bCs/>
                <w:sz w:val="20"/>
                <w:szCs w:val="20"/>
                <w:lang w:eastAsia="es-ES"/>
              </w:rPr>
              <w:t xml:space="preserve">1 VIAL </w:t>
            </w:r>
            <w:r w:rsidRPr="00D02D97">
              <w:rPr>
                <w:rFonts w:asciiTheme="minorHAnsi" w:eastAsia="Times New Roman" w:hAnsiTheme="minorHAnsi" w:cstheme="minorHAnsi"/>
                <w:bCs/>
                <w:sz w:val="20"/>
                <w:szCs w:val="20"/>
                <w:lang w:eastAsia="es-ES"/>
              </w:rPr>
              <w:t>POLVO PARA CONCENTRADO PARA SOLUCION PARA PERFUSION</w:t>
            </w:r>
          </w:p>
        </w:tc>
        <w:tc>
          <w:tcPr>
            <w:tcW w:w="1275" w:type="dxa"/>
            <w:vAlign w:val="center"/>
          </w:tcPr>
          <w:p w:rsidR="00061341" w:rsidRDefault="00061341" w:rsidP="00061341">
            <w:pPr>
              <w:jc w:val="center"/>
              <w:rPr>
                <w:rFonts w:asciiTheme="minorHAnsi" w:eastAsia="Times New Roman" w:hAnsiTheme="minorHAnsi" w:cstheme="minorHAnsi"/>
                <w:bCs/>
                <w:sz w:val="20"/>
                <w:szCs w:val="20"/>
                <w:lang w:eastAsia="es-ES"/>
              </w:rPr>
            </w:pPr>
            <w:r>
              <w:rPr>
                <w:rFonts w:asciiTheme="minorHAnsi" w:eastAsia="Times New Roman" w:hAnsiTheme="minorHAnsi" w:cstheme="minorHAnsi"/>
                <w:bCs/>
                <w:sz w:val="20"/>
                <w:szCs w:val="20"/>
                <w:lang w:eastAsia="es-ES"/>
              </w:rPr>
              <w:t>7,5%</w:t>
            </w:r>
          </w:p>
          <w:p w:rsidR="00061341" w:rsidRPr="00061341" w:rsidRDefault="00061341" w:rsidP="00061341">
            <w:pPr>
              <w:rPr>
                <w:rFonts w:asciiTheme="minorHAnsi" w:eastAsia="Times New Roman" w:hAnsiTheme="minorHAnsi" w:cstheme="minorHAnsi"/>
                <w:bCs/>
                <w:sz w:val="20"/>
                <w:szCs w:val="20"/>
                <w:lang w:eastAsia="es-ES"/>
              </w:rPr>
            </w:pPr>
          </w:p>
        </w:tc>
      </w:tr>
      <w:tr w:rsidR="00061341" w:rsidRPr="00061341" w:rsidTr="00061341">
        <w:trPr>
          <w:trHeight w:val="543"/>
        </w:trPr>
        <w:tc>
          <w:tcPr>
            <w:tcW w:w="1193" w:type="dxa"/>
            <w:shd w:val="clear" w:color="auto" w:fill="auto"/>
            <w:noWrap/>
            <w:vAlign w:val="center"/>
            <w:hideMark/>
          </w:tcPr>
          <w:p w:rsidR="00061341" w:rsidRPr="00D02D97" w:rsidRDefault="00061341" w:rsidP="00061341">
            <w:pPr>
              <w:jc w:val="center"/>
              <w:rPr>
                <w:rFonts w:asciiTheme="minorHAnsi" w:eastAsia="Times New Roman" w:hAnsiTheme="minorHAnsi" w:cstheme="minorHAnsi"/>
                <w:bCs/>
                <w:sz w:val="20"/>
                <w:szCs w:val="20"/>
                <w:lang w:eastAsia="es-ES"/>
              </w:rPr>
            </w:pPr>
            <w:r w:rsidRPr="00D02D97">
              <w:rPr>
                <w:rFonts w:asciiTheme="minorHAnsi" w:eastAsia="Times New Roman" w:hAnsiTheme="minorHAnsi" w:cstheme="minorHAnsi"/>
                <w:bCs/>
                <w:sz w:val="20"/>
                <w:szCs w:val="20"/>
                <w:lang w:eastAsia="es-ES"/>
              </w:rPr>
              <w:t>730080</w:t>
            </w:r>
          </w:p>
        </w:tc>
        <w:tc>
          <w:tcPr>
            <w:tcW w:w="6462" w:type="dxa"/>
            <w:shd w:val="clear" w:color="auto" w:fill="auto"/>
            <w:vAlign w:val="bottom"/>
            <w:hideMark/>
          </w:tcPr>
          <w:p w:rsidR="00061341" w:rsidRPr="00D02D97" w:rsidRDefault="00061341" w:rsidP="00061341">
            <w:pPr>
              <w:rPr>
                <w:rFonts w:asciiTheme="minorHAnsi" w:eastAsia="Times New Roman" w:hAnsiTheme="minorHAnsi" w:cstheme="minorHAnsi"/>
                <w:bCs/>
                <w:sz w:val="20"/>
                <w:szCs w:val="20"/>
                <w:lang w:eastAsia="es-ES"/>
              </w:rPr>
            </w:pPr>
            <w:r>
              <w:rPr>
                <w:rFonts w:asciiTheme="minorHAnsi" w:eastAsia="Times New Roman" w:hAnsiTheme="minorHAnsi" w:cstheme="minorHAnsi"/>
                <w:bCs/>
                <w:sz w:val="20"/>
                <w:szCs w:val="20"/>
                <w:lang w:eastAsia="es-ES"/>
              </w:rPr>
              <w:t xml:space="preserve">ADCETRIS 50MG 1 VIAL </w:t>
            </w:r>
            <w:r w:rsidRPr="00D02D97">
              <w:rPr>
                <w:rFonts w:asciiTheme="minorHAnsi" w:eastAsia="Times New Roman" w:hAnsiTheme="minorHAnsi" w:cstheme="minorHAnsi"/>
                <w:bCs/>
                <w:sz w:val="20"/>
                <w:szCs w:val="20"/>
                <w:lang w:eastAsia="es-ES"/>
              </w:rPr>
              <w:t>POLVO PARA CONCENTRADO PARA SOLUCION PARA PERFUSION</w:t>
            </w:r>
          </w:p>
        </w:tc>
        <w:tc>
          <w:tcPr>
            <w:tcW w:w="1275" w:type="dxa"/>
            <w:vAlign w:val="center"/>
          </w:tcPr>
          <w:p w:rsidR="00061341" w:rsidRDefault="00061341" w:rsidP="00061341">
            <w:pPr>
              <w:jc w:val="center"/>
            </w:pPr>
            <w:r w:rsidRPr="00C12BDE">
              <w:rPr>
                <w:rFonts w:asciiTheme="minorHAnsi" w:eastAsia="Times New Roman" w:hAnsiTheme="minorHAnsi" w:cstheme="minorHAnsi"/>
                <w:bCs/>
                <w:sz w:val="20"/>
                <w:szCs w:val="20"/>
                <w:lang w:eastAsia="es-ES"/>
              </w:rPr>
              <w:t>7,5%</w:t>
            </w:r>
          </w:p>
        </w:tc>
      </w:tr>
      <w:tr w:rsidR="00061341" w:rsidRPr="00061341" w:rsidTr="00DA5890">
        <w:trPr>
          <w:trHeight w:val="269"/>
        </w:trPr>
        <w:tc>
          <w:tcPr>
            <w:tcW w:w="1193" w:type="dxa"/>
            <w:shd w:val="clear" w:color="auto" w:fill="auto"/>
            <w:noWrap/>
            <w:vAlign w:val="center"/>
            <w:hideMark/>
          </w:tcPr>
          <w:p w:rsidR="00061341" w:rsidRPr="00D02D97" w:rsidRDefault="00061341" w:rsidP="00061341">
            <w:pPr>
              <w:jc w:val="center"/>
              <w:rPr>
                <w:rFonts w:asciiTheme="minorHAnsi" w:eastAsia="Times New Roman" w:hAnsiTheme="minorHAnsi" w:cstheme="minorHAnsi"/>
                <w:bCs/>
                <w:sz w:val="20"/>
                <w:szCs w:val="20"/>
                <w:lang w:eastAsia="es-ES"/>
              </w:rPr>
            </w:pPr>
            <w:r w:rsidRPr="00D02D97">
              <w:rPr>
                <w:rFonts w:asciiTheme="minorHAnsi" w:eastAsia="Times New Roman" w:hAnsiTheme="minorHAnsi" w:cstheme="minorHAnsi"/>
                <w:bCs/>
                <w:sz w:val="20"/>
                <w:szCs w:val="20"/>
                <w:lang w:eastAsia="es-ES"/>
              </w:rPr>
              <w:t>656938</w:t>
            </w:r>
          </w:p>
        </w:tc>
        <w:tc>
          <w:tcPr>
            <w:tcW w:w="6462" w:type="dxa"/>
            <w:shd w:val="clear" w:color="auto" w:fill="auto"/>
            <w:vAlign w:val="bottom"/>
            <w:hideMark/>
          </w:tcPr>
          <w:p w:rsidR="00061341" w:rsidRPr="00D02D97" w:rsidRDefault="00061341" w:rsidP="00061341">
            <w:pPr>
              <w:rPr>
                <w:rFonts w:asciiTheme="minorHAnsi" w:eastAsia="Times New Roman" w:hAnsiTheme="minorHAnsi" w:cstheme="minorHAnsi"/>
                <w:bCs/>
                <w:sz w:val="20"/>
                <w:szCs w:val="20"/>
                <w:lang w:eastAsia="es-ES"/>
              </w:rPr>
            </w:pPr>
            <w:r w:rsidRPr="00D02D97">
              <w:rPr>
                <w:rFonts w:asciiTheme="minorHAnsi" w:eastAsia="Times New Roman" w:hAnsiTheme="minorHAnsi" w:cstheme="minorHAnsi"/>
                <w:bCs/>
                <w:sz w:val="20"/>
                <w:szCs w:val="20"/>
                <w:lang w:eastAsia="es-ES"/>
              </w:rPr>
              <w:t>NEXAVAR 200</w:t>
            </w:r>
            <w:r>
              <w:rPr>
                <w:rFonts w:asciiTheme="minorHAnsi" w:eastAsia="Times New Roman" w:hAnsiTheme="minorHAnsi" w:cstheme="minorHAnsi"/>
                <w:bCs/>
                <w:sz w:val="20"/>
                <w:szCs w:val="20"/>
                <w:lang w:eastAsia="es-ES"/>
              </w:rPr>
              <w:t>MG 112</w:t>
            </w:r>
            <w:r w:rsidRPr="00D02D97">
              <w:rPr>
                <w:rFonts w:asciiTheme="minorHAnsi" w:eastAsia="Times New Roman" w:hAnsiTheme="minorHAnsi" w:cstheme="minorHAnsi"/>
                <w:bCs/>
                <w:sz w:val="20"/>
                <w:szCs w:val="20"/>
                <w:lang w:eastAsia="es-ES"/>
              </w:rPr>
              <w:t xml:space="preserve"> COMPRIMIDOS RECUBIERTOS CON PELICULA</w:t>
            </w:r>
          </w:p>
        </w:tc>
        <w:tc>
          <w:tcPr>
            <w:tcW w:w="1275" w:type="dxa"/>
            <w:vAlign w:val="center"/>
          </w:tcPr>
          <w:p w:rsidR="00061341" w:rsidRDefault="00061341" w:rsidP="00061341">
            <w:pPr>
              <w:jc w:val="center"/>
            </w:pPr>
            <w:r w:rsidRPr="00C12BDE">
              <w:rPr>
                <w:rFonts w:asciiTheme="minorHAnsi" w:eastAsia="Times New Roman" w:hAnsiTheme="minorHAnsi" w:cstheme="minorHAnsi"/>
                <w:bCs/>
                <w:sz w:val="20"/>
                <w:szCs w:val="20"/>
                <w:lang w:eastAsia="es-ES"/>
              </w:rPr>
              <w:t>7,5%</w:t>
            </w:r>
          </w:p>
        </w:tc>
      </w:tr>
      <w:tr w:rsidR="00061341" w:rsidRPr="00061341" w:rsidTr="00DA5890">
        <w:trPr>
          <w:trHeight w:val="260"/>
        </w:trPr>
        <w:tc>
          <w:tcPr>
            <w:tcW w:w="1193" w:type="dxa"/>
            <w:shd w:val="clear" w:color="auto" w:fill="auto"/>
            <w:noWrap/>
            <w:vAlign w:val="center"/>
            <w:hideMark/>
          </w:tcPr>
          <w:p w:rsidR="00061341" w:rsidRPr="00D02D97" w:rsidRDefault="00061341" w:rsidP="00061341">
            <w:pPr>
              <w:jc w:val="center"/>
              <w:rPr>
                <w:rFonts w:asciiTheme="minorHAnsi" w:eastAsia="Times New Roman" w:hAnsiTheme="minorHAnsi" w:cstheme="minorHAnsi"/>
                <w:bCs/>
                <w:sz w:val="20"/>
                <w:szCs w:val="20"/>
                <w:lang w:eastAsia="es-ES"/>
              </w:rPr>
            </w:pPr>
            <w:r w:rsidRPr="00D02D97">
              <w:rPr>
                <w:rFonts w:asciiTheme="minorHAnsi" w:eastAsia="Times New Roman" w:hAnsiTheme="minorHAnsi" w:cstheme="minorHAnsi"/>
                <w:bCs/>
                <w:sz w:val="20"/>
                <w:szCs w:val="20"/>
                <w:lang w:eastAsia="es-ES"/>
              </w:rPr>
              <w:t>728475</w:t>
            </w:r>
          </w:p>
        </w:tc>
        <w:tc>
          <w:tcPr>
            <w:tcW w:w="6462" w:type="dxa"/>
            <w:shd w:val="clear" w:color="auto" w:fill="auto"/>
            <w:vAlign w:val="bottom"/>
            <w:hideMark/>
          </w:tcPr>
          <w:p w:rsidR="00061341" w:rsidRPr="00D02D97" w:rsidRDefault="00061341" w:rsidP="00061341">
            <w:pPr>
              <w:rPr>
                <w:rFonts w:asciiTheme="minorHAnsi" w:eastAsia="Times New Roman" w:hAnsiTheme="minorHAnsi" w:cstheme="minorHAnsi"/>
                <w:bCs/>
                <w:sz w:val="20"/>
                <w:szCs w:val="20"/>
                <w:lang w:eastAsia="es-ES"/>
              </w:rPr>
            </w:pPr>
            <w:r w:rsidRPr="00D02D97">
              <w:rPr>
                <w:rFonts w:asciiTheme="minorHAnsi" w:eastAsia="Times New Roman" w:hAnsiTheme="minorHAnsi" w:cstheme="minorHAnsi"/>
                <w:bCs/>
                <w:sz w:val="20"/>
                <w:szCs w:val="20"/>
                <w:lang w:eastAsia="es-ES"/>
              </w:rPr>
              <w:t>NEXAVAR 200</w:t>
            </w:r>
            <w:r>
              <w:rPr>
                <w:rFonts w:asciiTheme="minorHAnsi" w:eastAsia="Times New Roman" w:hAnsiTheme="minorHAnsi" w:cstheme="minorHAnsi"/>
                <w:bCs/>
                <w:sz w:val="20"/>
                <w:szCs w:val="20"/>
                <w:lang w:eastAsia="es-ES"/>
              </w:rPr>
              <w:t>MG 112</w:t>
            </w:r>
            <w:r w:rsidRPr="00D02D97">
              <w:rPr>
                <w:rFonts w:asciiTheme="minorHAnsi" w:eastAsia="Times New Roman" w:hAnsiTheme="minorHAnsi" w:cstheme="minorHAnsi"/>
                <w:bCs/>
                <w:sz w:val="20"/>
                <w:szCs w:val="20"/>
                <w:lang w:eastAsia="es-ES"/>
              </w:rPr>
              <w:t xml:space="preserve"> COMPRIMIDOS RECUBIERTOS CON PELICULA</w:t>
            </w:r>
          </w:p>
        </w:tc>
        <w:tc>
          <w:tcPr>
            <w:tcW w:w="1275" w:type="dxa"/>
            <w:vAlign w:val="center"/>
          </w:tcPr>
          <w:p w:rsidR="00061341" w:rsidRDefault="00061341" w:rsidP="00061341">
            <w:pPr>
              <w:jc w:val="center"/>
            </w:pPr>
            <w:r w:rsidRPr="00C12BDE">
              <w:rPr>
                <w:rFonts w:asciiTheme="minorHAnsi" w:eastAsia="Times New Roman" w:hAnsiTheme="minorHAnsi" w:cstheme="minorHAnsi"/>
                <w:bCs/>
                <w:sz w:val="20"/>
                <w:szCs w:val="20"/>
                <w:lang w:eastAsia="es-ES"/>
              </w:rPr>
              <w:t>7,5%</w:t>
            </w:r>
          </w:p>
        </w:tc>
      </w:tr>
      <w:tr w:rsidR="00061341" w:rsidRPr="00061341" w:rsidTr="00061341">
        <w:trPr>
          <w:trHeight w:val="274"/>
        </w:trPr>
        <w:tc>
          <w:tcPr>
            <w:tcW w:w="1193" w:type="dxa"/>
            <w:shd w:val="clear" w:color="auto" w:fill="auto"/>
            <w:noWrap/>
            <w:vAlign w:val="center"/>
            <w:hideMark/>
          </w:tcPr>
          <w:p w:rsidR="00061341" w:rsidRPr="00D02D97" w:rsidRDefault="00061341" w:rsidP="00061341">
            <w:pPr>
              <w:jc w:val="center"/>
              <w:rPr>
                <w:rFonts w:asciiTheme="minorHAnsi" w:eastAsia="Times New Roman" w:hAnsiTheme="minorHAnsi" w:cstheme="minorHAnsi"/>
                <w:bCs/>
                <w:sz w:val="20"/>
                <w:szCs w:val="20"/>
                <w:lang w:eastAsia="es-ES"/>
              </w:rPr>
            </w:pPr>
            <w:r w:rsidRPr="00D02D97">
              <w:rPr>
                <w:rFonts w:asciiTheme="minorHAnsi" w:eastAsia="Times New Roman" w:hAnsiTheme="minorHAnsi" w:cstheme="minorHAnsi"/>
                <w:bCs/>
                <w:sz w:val="20"/>
                <w:szCs w:val="20"/>
                <w:lang w:eastAsia="es-ES"/>
              </w:rPr>
              <w:t>703962</w:t>
            </w:r>
          </w:p>
        </w:tc>
        <w:tc>
          <w:tcPr>
            <w:tcW w:w="6462" w:type="dxa"/>
            <w:shd w:val="clear" w:color="auto" w:fill="auto"/>
            <w:vAlign w:val="bottom"/>
            <w:hideMark/>
          </w:tcPr>
          <w:p w:rsidR="00061341" w:rsidRPr="00D02D97" w:rsidRDefault="00061341" w:rsidP="00061341">
            <w:pPr>
              <w:rPr>
                <w:rFonts w:asciiTheme="minorHAnsi" w:eastAsia="Times New Roman" w:hAnsiTheme="minorHAnsi" w:cstheme="minorHAnsi"/>
                <w:bCs/>
                <w:sz w:val="20"/>
                <w:szCs w:val="20"/>
                <w:lang w:eastAsia="es-ES"/>
              </w:rPr>
            </w:pPr>
            <w:r w:rsidRPr="00D02D97">
              <w:rPr>
                <w:rFonts w:asciiTheme="minorHAnsi" w:eastAsia="Times New Roman" w:hAnsiTheme="minorHAnsi" w:cstheme="minorHAnsi"/>
                <w:bCs/>
                <w:sz w:val="20"/>
                <w:szCs w:val="20"/>
                <w:lang w:eastAsia="es-ES"/>
              </w:rPr>
              <w:t>SYLVANT 100MG</w:t>
            </w:r>
            <w:r>
              <w:rPr>
                <w:rFonts w:asciiTheme="minorHAnsi" w:eastAsia="Times New Roman" w:hAnsiTheme="minorHAnsi" w:cstheme="minorHAnsi"/>
                <w:bCs/>
                <w:sz w:val="20"/>
                <w:szCs w:val="20"/>
                <w:lang w:eastAsia="es-ES"/>
              </w:rPr>
              <w:t>1 VIAL</w:t>
            </w:r>
            <w:r w:rsidRPr="00D02D97">
              <w:rPr>
                <w:rFonts w:asciiTheme="minorHAnsi" w:eastAsia="Times New Roman" w:hAnsiTheme="minorHAnsi" w:cstheme="minorHAnsi"/>
                <w:bCs/>
                <w:sz w:val="20"/>
                <w:szCs w:val="20"/>
                <w:lang w:eastAsia="es-ES"/>
              </w:rPr>
              <w:t xml:space="preserve"> POLVO PARA CONCENTRADO PARA SOLUCION PARA PERFUSION</w:t>
            </w:r>
          </w:p>
        </w:tc>
        <w:tc>
          <w:tcPr>
            <w:tcW w:w="1275" w:type="dxa"/>
            <w:vAlign w:val="center"/>
          </w:tcPr>
          <w:p w:rsidR="00061341" w:rsidRDefault="00061341" w:rsidP="00061341">
            <w:pPr>
              <w:jc w:val="center"/>
            </w:pPr>
            <w:r w:rsidRPr="00C12BDE">
              <w:rPr>
                <w:rFonts w:asciiTheme="minorHAnsi" w:eastAsia="Times New Roman" w:hAnsiTheme="minorHAnsi" w:cstheme="minorHAnsi"/>
                <w:bCs/>
                <w:sz w:val="20"/>
                <w:szCs w:val="20"/>
                <w:lang w:eastAsia="es-ES"/>
              </w:rPr>
              <w:t>7,5%</w:t>
            </w:r>
          </w:p>
        </w:tc>
      </w:tr>
    </w:tbl>
    <w:p w:rsidR="00D02D97" w:rsidRPr="00726904" w:rsidRDefault="00D02D97" w:rsidP="00A842FA">
      <w:pPr>
        <w:ind w:left="334"/>
        <w:jc w:val="both"/>
        <w:rPr>
          <w:rFonts w:asciiTheme="minorHAnsi" w:hAnsiTheme="minorHAnsi" w:cs="Arial"/>
        </w:rPr>
      </w:pPr>
    </w:p>
    <w:p w:rsidR="00A54FE0" w:rsidRPr="00726904" w:rsidRDefault="00A54FE0" w:rsidP="00A54FE0">
      <w:pPr>
        <w:jc w:val="both"/>
        <w:rPr>
          <w:rFonts w:asciiTheme="minorHAnsi" w:hAnsiTheme="minorHAnsi" w:cs="Arial"/>
        </w:rPr>
      </w:pPr>
    </w:p>
    <w:p w:rsidR="00E23866" w:rsidRPr="00D5098C" w:rsidRDefault="00624084" w:rsidP="004916B6">
      <w:pPr>
        <w:ind w:left="426"/>
        <w:jc w:val="both"/>
        <w:rPr>
          <w:rFonts w:asciiTheme="minorHAnsi" w:hAnsiTheme="minorHAnsi" w:cs="Arial"/>
          <w:b/>
        </w:rPr>
      </w:pPr>
      <w:r w:rsidRPr="00D5098C">
        <w:rPr>
          <w:rFonts w:asciiTheme="minorHAnsi" w:hAnsiTheme="minorHAnsi" w:cs="Arial"/>
          <w:b/>
        </w:rPr>
        <w:t>L</w:t>
      </w:r>
      <w:r w:rsidR="00E23866" w:rsidRPr="00D5098C">
        <w:rPr>
          <w:rFonts w:asciiTheme="minorHAnsi" w:hAnsiTheme="minorHAnsi" w:cs="Arial"/>
          <w:b/>
        </w:rPr>
        <w:t>a información recogida en el Nomenclátor oficial de la prestación farmacéutica del Sistema Nacional de Salud sobre precios correspondientes a medicamentos no incluidos en la prestación farmacéutica del SNS es meramente informativa. A efectos legales, y en tanto en cuanto se proceda al desarrollo reglamentario del texto refundido de la Ley de garantías y uso racional de los medicamentos y productos sanitarios, aprobado mediante el Real Decreto Legislativo 1/2015, de 24 de julio, debe contactarse con los respectivos laboratorios comercializadores de los medicamentos en cuestión.</w:t>
      </w:r>
    </w:p>
    <w:p w:rsidR="00D5098C" w:rsidRDefault="00D5098C" w:rsidP="004916B6">
      <w:pPr>
        <w:ind w:left="426"/>
        <w:jc w:val="both"/>
        <w:rPr>
          <w:rFonts w:asciiTheme="minorHAnsi" w:hAnsiTheme="minorHAnsi" w:cs="Arial"/>
          <w:b/>
        </w:rPr>
      </w:pPr>
    </w:p>
    <w:p w:rsidR="009B1987" w:rsidRPr="009B1987" w:rsidRDefault="009B1987" w:rsidP="00090E82">
      <w:pPr>
        <w:numPr>
          <w:ilvl w:val="0"/>
          <w:numId w:val="6"/>
        </w:numPr>
        <w:jc w:val="both"/>
        <w:rPr>
          <w:rFonts w:asciiTheme="minorHAnsi" w:eastAsia="Times New Roman" w:hAnsiTheme="minorHAnsi" w:cstheme="minorHAnsi"/>
          <w:color w:val="FF0000"/>
          <w:lang w:eastAsia="es-ES"/>
        </w:rPr>
      </w:pPr>
      <w:r w:rsidRPr="009B1987">
        <w:rPr>
          <w:rFonts w:asciiTheme="minorHAnsi" w:eastAsia="Times New Roman" w:hAnsiTheme="minorHAnsi" w:cstheme="minorHAnsi"/>
          <w:color w:val="FF0000"/>
          <w:lang w:eastAsia="es-ES"/>
        </w:rPr>
        <w:t>A efectos del Nomenclátor del mes de AGOSTO 2024 les informamos que los medicamentos que a continuación se indican pasan a la situación de BAJA EXCLUSIÓN FINANCIACIÓN INDIVIDUALIZADA y/o H- BAJA EXCLUSIÓN al haber sido excluidos de la financiación por resoluci</w:t>
      </w:r>
      <w:r w:rsidR="003C6923" w:rsidRPr="003C6923">
        <w:rPr>
          <w:rFonts w:asciiTheme="minorHAnsi" w:eastAsia="Times New Roman" w:hAnsiTheme="minorHAnsi" w:cstheme="minorHAnsi"/>
          <w:color w:val="FF0000"/>
          <w:lang w:eastAsia="es-ES"/>
        </w:rPr>
        <w:t>ones</w:t>
      </w:r>
      <w:r w:rsidRPr="009B1987">
        <w:rPr>
          <w:rFonts w:asciiTheme="minorHAnsi" w:eastAsia="Times New Roman" w:hAnsiTheme="minorHAnsi" w:cstheme="minorHAnsi"/>
          <w:color w:val="FF0000"/>
          <w:lang w:eastAsia="es-ES"/>
        </w:rPr>
        <w:t xml:space="preserve"> de </w:t>
      </w:r>
      <w:r w:rsidR="003C6923" w:rsidRPr="003C6923">
        <w:rPr>
          <w:rFonts w:asciiTheme="minorHAnsi" w:eastAsia="Times New Roman" w:hAnsiTheme="minorHAnsi" w:cstheme="minorHAnsi"/>
          <w:color w:val="FF0000"/>
          <w:lang w:eastAsia="es-ES"/>
        </w:rPr>
        <w:t>abril</w:t>
      </w:r>
      <w:r w:rsidRPr="009B1987">
        <w:rPr>
          <w:rFonts w:asciiTheme="minorHAnsi" w:eastAsia="Times New Roman" w:hAnsiTheme="minorHAnsi" w:cstheme="minorHAnsi"/>
          <w:color w:val="FF0000"/>
          <w:lang w:eastAsia="es-ES"/>
        </w:rPr>
        <w:t xml:space="preserve"> 2024 de la Dirección General de Cartera Común de Servicios del SNS y Farmacia. En el mes de </w:t>
      </w:r>
      <w:r w:rsidR="003C6923" w:rsidRPr="003C6923">
        <w:rPr>
          <w:rFonts w:asciiTheme="minorHAnsi" w:eastAsia="Times New Roman" w:hAnsiTheme="minorHAnsi" w:cstheme="minorHAnsi"/>
          <w:color w:val="FF0000"/>
          <w:lang w:eastAsia="es-ES"/>
        </w:rPr>
        <w:t>diciembre</w:t>
      </w:r>
      <w:r w:rsidRPr="009B1987">
        <w:rPr>
          <w:rFonts w:asciiTheme="minorHAnsi" w:eastAsia="Times New Roman" w:hAnsiTheme="minorHAnsi" w:cstheme="minorHAnsi"/>
          <w:color w:val="FF0000"/>
          <w:lang w:eastAsia="es-ES"/>
        </w:rPr>
        <w:t xml:space="preserve"> de 2024 dejarán de ser facturable aquellos que lo fueran.</w:t>
      </w:r>
    </w:p>
    <w:p w:rsidR="009B1987" w:rsidRPr="009B1987" w:rsidRDefault="009B1987" w:rsidP="009B1987">
      <w:pPr>
        <w:ind w:left="709"/>
        <w:jc w:val="both"/>
        <w:rPr>
          <w:rFonts w:cs="Calibri"/>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
        <w:gridCol w:w="8040"/>
      </w:tblGrid>
      <w:tr w:rsidR="009B1987" w:rsidRPr="009B1987" w:rsidTr="00090E82">
        <w:trPr>
          <w:trHeight w:val="317"/>
        </w:trPr>
        <w:tc>
          <w:tcPr>
            <w:tcW w:w="745" w:type="dxa"/>
            <w:shd w:val="clear" w:color="auto" w:fill="BFBFBF" w:themeFill="background1" w:themeFillShade="BF"/>
            <w:vAlign w:val="bottom"/>
          </w:tcPr>
          <w:p w:rsidR="009B1987" w:rsidRPr="009B1987" w:rsidRDefault="009B1987" w:rsidP="009B1987">
            <w:pPr>
              <w:jc w:val="center"/>
              <w:rPr>
                <w:rFonts w:asciiTheme="minorHAnsi" w:eastAsia="Times New Roman" w:hAnsiTheme="minorHAnsi" w:cstheme="minorHAnsi"/>
                <w:b/>
                <w:bCs/>
                <w:color w:val="FF0000"/>
                <w:sz w:val="20"/>
                <w:szCs w:val="20"/>
                <w:lang w:eastAsia="es-ES"/>
              </w:rPr>
            </w:pPr>
            <w:r w:rsidRPr="009B1987">
              <w:rPr>
                <w:rFonts w:asciiTheme="minorHAnsi" w:eastAsia="Times New Roman" w:hAnsiTheme="minorHAnsi" w:cstheme="minorHAnsi"/>
                <w:b/>
                <w:bCs/>
                <w:color w:val="FF0000"/>
                <w:sz w:val="20"/>
                <w:szCs w:val="20"/>
                <w:lang w:eastAsia="es-ES"/>
              </w:rPr>
              <w:t>CN</w:t>
            </w:r>
          </w:p>
        </w:tc>
        <w:tc>
          <w:tcPr>
            <w:tcW w:w="8044" w:type="dxa"/>
            <w:shd w:val="clear" w:color="auto" w:fill="BFBFBF" w:themeFill="background1" w:themeFillShade="BF"/>
            <w:vAlign w:val="bottom"/>
          </w:tcPr>
          <w:p w:rsidR="009B1987" w:rsidRPr="009B1987" w:rsidRDefault="009B1987" w:rsidP="009B1987">
            <w:pPr>
              <w:jc w:val="center"/>
              <w:rPr>
                <w:rFonts w:asciiTheme="minorHAnsi" w:eastAsia="Times New Roman" w:hAnsiTheme="minorHAnsi" w:cstheme="minorHAnsi"/>
                <w:b/>
                <w:bCs/>
                <w:color w:val="FF0000"/>
                <w:sz w:val="20"/>
                <w:szCs w:val="20"/>
                <w:lang w:eastAsia="es-ES"/>
              </w:rPr>
            </w:pPr>
            <w:r w:rsidRPr="009B1987">
              <w:rPr>
                <w:rFonts w:asciiTheme="minorHAnsi" w:eastAsia="Times New Roman" w:hAnsiTheme="minorHAnsi" w:cstheme="minorHAnsi"/>
                <w:b/>
                <w:bCs/>
                <w:color w:val="FF0000"/>
                <w:sz w:val="20"/>
                <w:szCs w:val="20"/>
                <w:lang w:eastAsia="es-ES"/>
              </w:rPr>
              <w:t xml:space="preserve">NOMBRE </w:t>
            </w:r>
          </w:p>
        </w:tc>
      </w:tr>
      <w:tr w:rsidR="009B1987" w:rsidRPr="009B1987" w:rsidTr="00090E82">
        <w:trPr>
          <w:trHeight w:val="279"/>
        </w:trPr>
        <w:tc>
          <w:tcPr>
            <w:tcW w:w="745" w:type="dxa"/>
            <w:shd w:val="clear" w:color="auto" w:fill="auto"/>
            <w:vAlign w:val="center"/>
            <w:hideMark/>
          </w:tcPr>
          <w:p w:rsidR="009B1987" w:rsidRPr="009B1987" w:rsidRDefault="009B1987" w:rsidP="009B1987">
            <w:pPr>
              <w:jc w:val="center"/>
              <w:rPr>
                <w:rFonts w:eastAsia="Times New Roman" w:cs="Calibri"/>
                <w:color w:val="FF0000"/>
                <w:sz w:val="20"/>
                <w:szCs w:val="20"/>
                <w:lang w:eastAsia="es-ES"/>
              </w:rPr>
            </w:pPr>
            <w:r w:rsidRPr="009B1987">
              <w:rPr>
                <w:rFonts w:eastAsia="Times New Roman" w:cs="Calibri"/>
                <w:color w:val="FF0000"/>
                <w:sz w:val="20"/>
                <w:szCs w:val="20"/>
                <w:lang w:eastAsia="es-ES"/>
              </w:rPr>
              <w:t>620195</w:t>
            </w:r>
          </w:p>
        </w:tc>
        <w:tc>
          <w:tcPr>
            <w:tcW w:w="8044" w:type="dxa"/>
            <w:shd w:val="clear" w:color="auto" w:fill="auto"/>
            <w:vAlign w:val="center"/>
            <w:hideMark/>
          </w:tcPr>
          <w:p w:rsidR="009B1987" w:rsidRPr="009B1987" w:rsidRDefault="009B1987" w:rsidP="009B1987">
            <w:pPr>
              <w:rPr>
                <w:rFonts w:eastAsia="Times New Roman" w:cs="Calibri"/>
                <w:color w:val="FF0000"/>
                <w:sz w:val="20"/>
                <w:szCs w:val="20"/>
                <w:lang w:eastAsia="es-ES"/>
              </w:rPr>
            </w:pPr>
            <w:r w:rsidRPr="009B1987">
              <w:rPr>
                <w:rFonts w:eastAsia="Times New Roman" w:cs="Calibri"/>
                <w:color w:val="FF0000"/>
                <w:sz w:val="20"/>
                <w:szCs w:val="20"/>
                <w:lang w:eastAsia="es-ES"/>
              </w:rPr>
              <w:t>MEPIVACAINA B. BRAUN 20 MG/ML SOLUCIÓN INYECTABLE, 100 ampollas de 5ml</w:t>
            </w:r>
          </w:p>
        </w:tc>
      </w:tr>
      <w:tr w:rsidR="009B1987" w:rsidRPr="009B1987" w:rsidTr="00090E82">
        <w:trPr>
          <w:trHeight w:val="270"/>
        </w:trPr>
        <w:tc>
          <w:tcPr>
            <w:tcW w:w="745" w:type="dxa"/>
            <w:shd w:val="clear" w:color="auto" w:fill="auto"/>
            <w:vAlign w:val="center"/>
            <w:hideMark/>
          </w:tcPr>
          <w:p w:rsidR="009B1987" w:rsidRPr="009B1987" w:rsidRDefault="009B1987" w:rsidP="009B1987">
            <w:pPr>
              <w:jc w:val="center"/>
              <w:rPr>
                <w:rFonts w:eastAsia="Times New Roman" w:cs="Calibri"/>
                <w:color w:val="FF0000"/>
                <w:sz w:val="20"/>
                <w:szCs w:val="20"/>
                <w:lang w:eastAsia="es-ES"/>
              </w:rPr>
            </w:pPr>
            <w:r w:rsidRPr="009B1987">
              <w:rPr>
                <w:rFonts w:eastAsia="Times New Roman" w:cs="Calibri"/>
                <w:color w:val="FF0000"/>
                <w:sz w:val="20"/>
                <w:szCs w:val="20"/>
                <w:lang w:eastAsia="es-ES"/>
              </w:rPr>
              <w:t>748772</w:t>
            </w:r>
          </w:p>
        </w:tc>
        <w:tc>
          <w:tcPr>
            <w:tcW w:w="8044" w:type="dxa"/>
            <w:shd w:val="clear" w:color="auto" w:fill="auto"/>
            <w:vAlign w:val="center"/>
            <w:hideMark/>
          </w:tcPr>
          <w:p w:rsidR="009B1987" w:rsidRPr="009B1987" w:rsidRDefault="009B1987" w:rsidP="009B1987">
            <w:pPr>
              <w:rPr>
                <w:rFonts w:eastAsia="Times New Roman" w:cs="Calibri"/>
                <w:color w:val="FF0000"/>
                <w:sz w:val="20"/>
                <w:szCs w:val="20"/>
                <w:lang w:eastAsia="es-ES"/>
              </w:rPr>
            </w:pPr>
            <w:r w:rsidRPr="009B1987">
              <w:rPr>
                <w:rFonts w:eastAsia="Times New Roman" w:cs="Calibri"/>
                <w:color w:val="FF0000"/>
                <w:sz w:val="20"/>
                <w:szCs w:val="20"/>
                <w:lang w:eastAsia="es-ES"/>
              </w:rPr>
              <w:t>PROSCAR 5 mg COMPRIMIDOS RECUBIERTOS CON PELÍCULA , 28 comprimidos</w:t>
            </w:r>
          </w:p>
        </w:tc>
      </w:tr>
      <w:tr w:rsidR="009B1987" w:rsidRPr="009B1987" w:rsidTr="00090E82">
        <w:trPr>
          <w:trHeight w:val="273"/>
        </w:trPr>
        <w:tc>
          <w:tcPr>
            <w:tcW w:w="745" w:type="dxa"/>
            <w:shd w:val="clear" w:color="auto" w:fill="auto"/>
            <w:vAlign w:val="center"/>
            <w:hideMark/>
          </w:tcPr>
          <w:p w:rsidR="009B1987" w:rsidRPr="009B1987" w:rsidRDefault="009B1987" w:rsidP="009B1987">
            <w:pPr>
              <w:jc w:val="center"/>
              <w:rPr>
                <w:rFonts w:eastAsia="Times New Roman" w:cs="Calibri"/>
                <w:color w:val="FF0000"/>
                <w:sz w:val="20"/>
                <w:szCs w:val="20"/>
                <w:lang w:eastAsia="es-ES"/>
              </w:rPr>
            </w:pPr>
            <w:r w:rsidRPr="009B1987">
              <w:rPr>
                <w:rFonts w:eastAsia="Times New Roman" w:cs="Calibri"/>
                <w:color w:val="FF0000"/>
                <w:sz w:val="20"/>
                <w:szCs w:val="20"/>
                <w:lang w:eastAsia="es-ES"/>
              </w:rPr>
              <w:t>688036</w:t>
            </w:r>
          </w:p>
        </w:tc>
        <w:tc>
          <w:tcPr>
            <w:tcW w:w="8044" w:type="dxa"/>
            <w:shd w:val="clear" w:color="auto" w:fill="auto"/>
            <w:vAlign w:val="center"/>
            <w:hideMark/>
          </w:tcPr>
          <w:p w:rsidR="009B1987" w:rsidRPr="009B1987" w:rsidRDefault="009B1987" w:rsidP="009B1987">
            <w:pPr>
              <w:rPr>
                <w:rFonts w:eastAsia="Times New Roman" w:cs="Calibri"/>
                <w:color w:val="FF0000"/>
                <w:sz w:val="20"/>
                <w:szCs w:val="20"/>
                <w:lang w:eastAsia="es-ES"/>
              </w:rPr>
            </w:pPr>
            <w:r w:rsidRPr="009B1987">
              <w:rPr>
                <w:rFonts w:eastAsia="Times New Roman" w:cs="Calibri"/>
                <w:color w:val="FF0000"/>
                <w:sz w:val="20"/>
                <w:szCs w:val="20"/>
                <w:lang w:eastAsia="es-ES"/>
              </w:rPr>
              <w:t>SUERO FISIOLOGICO 0,9% BAXTER (CLEAR FLEX) SOLUCIÓN PARA PERFUSIÓN, 1 bolsa de 100ml</w:t>
            </w:r>
          </w:p>
        </w:tc>
      </w:tr>
      <w:tr w:rsidR="009B1987" w:rsidRPr="009B1987" w:rsidTr="00090E82">
        <w:trPr>
          <w:trHeight w:val="340"/>
        </w:trPr>
        <w:tc>
          <w:tcPr>
            <w:tcW w:w="745" w:type="dxa"/>
            <w:shd w:val="clear" w:color="auto" w:fill="auto"/>
            <w:vAlign w:val="center"/>
            <w:hideMark/>
          </w:tcPr>
          <w:p w:rsidR="009B1987" w:rsidRPr="009B1987" w:rsidRDefault="009B1987" w:rsidP="009B1987">
            <w:pPr>
              <w:jc w:val="center"/>
              <w:rPr>
                <w:rFonts w:eastAsia="Times New Roman" w:cs="Calibri"/>
                <w:color w:val="FF0000"/>
                <w:sz w:val="20"/>
                <w:szCs w:val="20"/>
                <w:lang w:eastAsia="es-ES"/>
              </w:rPr>
            </w:pPr>
            <w:r w:rsidRPr="009B1987">
              <w:rPr>
                <w:rFonts w:eastAsia="Times New Roman" w:cs="Calibri"/>
                <w:color w:val="FF0000"/>
                <w:sz w:val="20"/>
                <w:szCs w:val="20"/>
                <w:lang w:eastAsia="es-ES"/>
              </w:rPr>
              <w:t>993618</w:t>
            </w:r>
          </w:p>
        </w:tc>
        <w:tc>
          <w:tcPr>
            <w:tcW w:w="8044" w:type="dxa"/>
            <w:shd w:val="clear" w:color="auto" w:fill="auto"/>
            <w:vAlign w:val="center"/>
            <w:hideMark/>
          </w:tcPr>
          <w:p w:rsidR="009B1987" w:rsidRPr="009B1987" w:rsidRDefault="009B1987" w:rsidP="009B1987">
            <w:pPr>
              <w:rPr>
                <w:rFonts w:eastAsia="Times New Roman" w:cs="Calibri"/>
                <w:color w:val="FF0000"/>
                <w:sz w:val="20"/>
                <w:szCs w:val="20"/>
                <w:lang w:eastAsia="es-ES"/>
              </w:rPr>
            </w:pPr>
            <w:r w:rsidRPr="009B1987">
              <w:rPr>
                <w:rFonts w:eastAsia="Times New Roman" w:cs="Calibri"/>
                <w:color w:val="FF0000"/>
                <w:sz w:val="20"/>
                <w:szCs w:val="20"/>
                <w:lang w:eastAsia="es-ES"/>
              </w:rPr>
              <w:t>SUERO FISIOLOGICO 0,9% BAXTER (CLEAR FLEX) SOLUCIÓN PARA PERFUSIÓN, 1 bolsa de 1.000ml</w:t>
            </w:r>
          </w:p>
        </w:tc>
      </w:tr>
      <w:tr w:rsidR="009B1987" w:rsidRPr="009B1987" w:rsidTr="00090E82">
        <w:trPr>
          <w:trHeight w:val="271"/>
        </w:trPr>
        <w:tc>
          <w:tcPr>
            <w:tcW w:w="745" w:type="dxa"/>
            <w:shd w:val="clear" w:color="auto" w:fill="auto"/>
            <w:vAlign w:val="center"/>
            <w:hideMark/>
          </w:tcPr>
          <w:p w:rsidR="009B1987" w:rsidRPr="009B1987" w:rsidRDefault="009B1987" w:rsidP="009B1987">
            <w:pPr>
              <w:jc w:val="center"/>
              <w:rPr>
                <w:rFonts w:eastAsia="Times New Roman" w:cs="Calibri"/>
                <w:color w:val="FF0000"/>
                <w:sz w:val="20"/>
                <w:szCs w:val="20"/>
                <w:lang w:eastAsia="es-ES"/>
              </w:rPr>
            </w:pPr>
            <w:r w:rsidRPr="009B1987">
              <w:rPr>
                <w:rFonts w:eastAsia="Times New Roman" w:cs="Calibri"/>
                <w:color w:val="FF0000"/>
                <w:sz w:val="20"/>
                <w:szCs w:val="20"/>
                <w:lang w:eastAsia="es-ES"/>
              </w:rPr>
              <w:t>699348</w:t>
            </w:r>
          </w:p>
        </w:tc>
        <w:tc>
          <w:tcPr>
            <w:tcW w:w="8044" w:type="dxa"/>
            <w:shd w:val="clear" w:color="auto" w:fill="auto"/>
            <w:vAlign w:val="center"/>
            <w:hideMark/>
          </w:tcPr>
          <w:p w:rsidR="009B1987" w:rsidRPr="009B1987" w:rsidRDefault="009B1987" w:rsidP="009B1987">
            <w:pPr>
              <w:rPr>
                <w:rFonts w:eastAsia="Times New Roman" w:cs="Calibri"/>
                <w:color w:val="FF0000"/>
                <w:sz w:val="20"/>
                <w:szCs w:val="20"/>
                <w:lang w:eastAsia="es-ES"/>
              </w:rPr>
            </w:pPr>
            <w:r w:rsidRPr="009B1987">
              <w:rPr>
                <w:rFonts w:eastAsia="Times New Roman" w:cs="Calibri"/>
                <w:color w:val="FF0000"/>
                <w:sz w:val="20"/>
                <w:szCs w:val="20"/>
                <w:lang w:eastAsia="es-ES"/>
              </w:rPr>
              <w:t>SUERO FISIOLOGICO 0,9% BAXTER (CLEAR FLEX) SOLUCIÓN PARA PERFUSIÓN, 1 bolsa de 2.000ml</w:t>
            </w:r>
          </w:p>
        </w:tc>
      </w:tr>
      <w:tr w:rsidR="009B1987" w:rsidRPr="009B1987" w:rsidTr="00090E82">
        <w:trPr>
          <w:trHeight w:val="334"/>
        </w:trPr>
        <w:tc>
          <w:tcPr>
            <w:tcW w:w="745" w:type="dxa"/>
            <w:shd w:val="clear" w:color="auto" w:fill="auto"/>
            <w:vAlign w:val="center"/>
            <w:hideMark/>
          </w:tcPr>
          <w:p w:rsidR="009B1987" w:rsidRPr="009B1987" w:rsidRDefault="009B1987" w:rsidP="009B1987">
            <w:pPr>
              <w:jc w:val="center"/>
              <w:rPr>
                <w:rFonts w:eastAsia="Times New Roman" w:cs="Calibri"/>
                <w:color w:val="FF0000"/>
                <w:sz w:val="20"/>
                <w:szCs w:val="20"/>
                <w:lang w:eastAsia="es-ES"/>
              </w:rPr>
            </w:pPr>
            <w:r w:rsidRPr="009B1987">
              <w:rPr>
                <w:rFonts w:eastAsia="Times New Roman" w:cs="Calibri"/>
                <w:color w:val="FF0000"/>
                <w:sz w:val="20"/>
                <w:szCs w:val="20"/>
                <w:lang w:eastAsia="es-ES"/>
              </w:rPr>
              <w:t>688028</w:t>
            </w:r>
          </w:p>
        </w:tc>
        <w:tc>
          <w:tcPr>
            <w:tcW w:w="8044" w:type="dxa"/>
            <w:shd w:val="clear" w:color="auto" w:fill="auto"/>
            <w:vAlign w:val="center"/>
            <w:hideMark/>
          </w:tcPr>
          <w:p w:rsidR="009B1987" w:rsidRPr="009B1987" w:rsidRDefault="009B1987" w:rsidP="009B1987">
            <w:pPr>
              <w:rPr>
                <w:rFonts w:eastAsia="Times New Roman" w:cs="Calibri"/>
                <w:color w:val="FF0000"/>
                <w:sz w:val="20"/>
                <w:szCs w:val="20"/>
                <w:lang w:eastAsia="es-ES"/>
              </w:rPr>
            </w:pPr>
            <w:r w:rsidRPr="009B1987">
              <w:rPr>
                <w:rFonts w:eastAsia="Times New Roman" w:cs="Calibri"/>
                <w:color w:val="FF0000"/>
                <w:sz w:val="20"/>
                <w:szCs w:val="20"/>
                <w:lang w:eastAsia="es-ES"/>
              </w:rPr>
              <w:t>SUERO FISIOLOGICO 0,9% BAXTER (CLEAR FLEX) SOLUCIÓN PARA PERFUSIÓN, 1 bolsa de 250ml</w:t>
            </w:r>
          </w:p>
        </w:tc>
      </w:tr>
      <w:tr w:rsidR="009B1987" w:rsidRPr="009B1987" w:rsidTr="00090E82">
        <w:trPr>
          <w:trHeight w:val="209"/>
        </w:trPr>
        <w:tc>
          <w:tcPr>
            <w:tcW w:w="745" w:type="dxa"/>
            <w:shd w:val="clear" w:color="auto" w:fill="auto"/>
            <w:vAlign w:val="center"/>
            <w:hideMark/>
          </w:tcPr>
          <w:p w:rsidR="009B1987" w:rsidRPr="009B1987" w:rsidRDefault="009B1987" w:rsidP="009B1987">
            <w:pPr>
              <w:jc w:val="center"/>
              <w:rPr>
                <w:rFonts w:eastAsia="Times New Roman" w:cs="Calibri"/>
                <w:color w:val="FF0000"/>
                <w:sz w:val="20"/>
                <w:szCs w:val="20"/>
                <w:lang w:eastAsia="es-ES"/>
              </w:rPr>
            </w:pPr>
            <w:r w:rsidRPr="009B1987">
              <w:rPr>
                <w:rFonts w:eastAsia="Times New Roman" w:cs="Calibri"/>
                <w:color w:val="FF0000"/>
                <w:sz w:val="20"/>
                <w:szCs w:val="20"/>
                <w:lang w:eastAsia="es-ES"/>
              </w:rPr>
              <w:t>651612</w:t>
            </w:r>
          </w:p>
        </w:tc>
        <w:tc>
          <w:tcPr>
            <w:tcW w:w="8044" w:type="dxa"/>
            <w:shd w:val="clear" w:color="auto" w:fill="auto"/>
            <w:vAlign w:val="center"/>
            <w:hideMark/>
          </w:tcPr>
          <w:p w:rsidR="009B1987" w:rsidRPr="009B1987" w:rsidRDefault="009B1987" w:rsidP="009B1987">
            <w:pPr>
              <w:rPr>
                <w:rFonts w:eastAsia="Times New Roman" w:cs="Calibri"/>
                <w:color w:val="FF0000"/>
                <w:sz w:val="20"/>
                <w:szCs w:val="20"/>
                <w:lang w:eastAsia="es-ES"/>
              </w:rPr>
            </w:pPr>
            <w:r w:rsidRPr="009B1987">
              <w:rPr>
                <w:rFonts w:eastAsia="Times New Roman" w:cs="Calibri"/>
                <w:color w:val="FF0000"/>
                <w:sz w:val="20"/>
                <w:szCs w:val="20"/>
                <w:lang w:eastAsia="es-ES"/>
              </w:rPr>
              <w:t>SUERO FISIOLOGICO 0,9% BAXTER (CLEAR FLEX) SOLUCIÓN PARA PERFUSIÓN, 1 bolsa de 50ml</w:t>
            </w:r>
          </w:p>
        </w:tc>
      </w:tr>
      <w:tr w:rsidR="009B1987" w:rsidRPr="009B1987" w:rsidTr="00090E82">
        <w:trPr>
          <w:trHeight w:val="284"/>
        </w:trPr>
        <w:tc>
          <w:tcPr>
            <w:tcW w:w="745" w:type="dxa"/>
            <w:shd w:val="clear" w:color="auto" w:fill="auto"/>
            <w:vAlign w:val="center"/>
            <w:hideMark/>
          </w:tcPr>
          <w:p w:rsidR="009B1987" w:rsidRPr="009B1987" w:rsidRDefault="009B1987" w:rsidP="009B1987">
            <w:pPr>
              <w:jc w:val="center"/>
              <w:rPr>
                <w:rFonts w:eastAsia="Times New Roman" w:cs="Calibri"/>
                <w:color w:val="FF0000"/>
                <w:sz w:val="20"/>
                <w:szCs w:val="20"/>
                <w:lang w:eastAsia="es-ES"/>
              </w:rPr>
            </w:pPr>
            <w:r w:rsidRPr="009B1987">
              <w:rPr>
                <w:rFonts w:eastAsia="Times New Roman" w:cs="Calibri"/>
                <w:color w:val="FF0000"/>
                <w:sz w:val="20"/>
                <w:szCs w:val="20"/>
                <w:lang w:eastAsia="es-ES"/>
              </w:rPr>
              <w:t>688010</w:t>
            </w:r>
          </w:p>
        </w:tc>
        <w:tc>
          <w:tcPr>
            <w:tcW w:w="8044" w:type="dxa"/>
            <w:shd w:val="clear" w:color="auto" w:fill="auto"/>
            <w:vAlign w:val="center"/>
            <w:hideMark/>
          </w:tcPr>
          <w:p w:rsidR="009B1987" w:rsidRPr="009B1987" w:rsidRDefault="009B1987" w:rsidP="009B1987">
            <w:pPr>
              <w:rPr>
                <w:rFonts w:eastAsia="Times New Roman" w:cs="Calibri"/>
                <w:color w:val="FF0000"/>
                <w:sz w:val="20"/>
                <w:szCs w:val="20"/>
                <w:lang w:eastAsia="es-ES"/>
              </w:rPr>
            </w:pPr>
            <w:r w:rsidRPr="009B1987">
              <w:rPr>
                <w:rFonts w:eastAsia="Times New Roman" w:cs="Calibri"/>
                <w:color w:val="FF0000"/>
                <w:sz w:val="20"/>
                <w:szCs w:val="20"/>
                <w:lang w:eastAsia="es-ES"/>
              </w:rPr>
              <w:t>SUERO FISIOLOGICO 0,9% BAXTER (CLEAR FLEX) SOLUCIÓN PARA PERFUSIÓN, 1 bolsa de 500ml</w:t>
            </w:r>
          </w:p>
        </w:tc>
      </w:tr>
    </w:tbl>
    <w:p w:rsidR="009B1987" w:rsidRPr="009B1987" w:rsidRDefault="009B1987" w:rsidP="009B1987">
      <w:pPr>
        <w:ind w:left="709"/>
        <w:jc w:val="both"/>
        <w:rPr>
          <w:rFonts w:cs="Calibri"/>
        </w:rPr>
      </w:pPr>
    </w:p>
    <w:p w:rsidR="009B1987" w:rsidRPr="009B1987" w:rsidRDefault="009B1987" w:rsidP="009B1987">
      <w:pPr>
        <w:numPr>
          <w:ilvl w:val="0"/>
          <w:numId w:val="6"/>
        </w:numPr>
        <w:jc w:val="both"/>
        <w:rPr>
          <w:rFonts w:asciiTheme="minorHAnsi" w:eastAsia="Times New Roman" w:hAnsiTheme="minorHAnsi" w:cstheme="minorHAnsi"/>
          <w:color w:val="FF0000"/>
          <w:lang w:eastAsia="es-ES"/>
        </w:rPr>
      </w:pPr>
      <w:r w:rsidRPr="009B1987">
        <w:rPr>
          <w:rFonts w:asciiTheme="minorHAnsi" w:eastAsia="Times New Roman" w:hAnsiTheme="minorHAnsi" w:cstheme="minorHAnsi"/>
          <w:color w:val="FF0000"/>
          <w:lang w:eastAsia="es-ES"/>
        </w:rPr>
        <w:lastRenderedPageBreak/>
        <w:t>El medicamento que a continuación se indica deja de ser facturable al haber sido excluido de la financiación por resolución de diciembre de 2023 de la Dirección General de Cartera Común de Servicios del SNS y Farmacia.</w:t>
      </w:r>
    </w:p>
    <w:p w:rsidR="009B1987" w:rsidRPr="009B1987" w:rsidRDefault="009B1987" w:rsidP="009B1987">
      <w:pPr>
        <w:ind w:left="709"/>
        <w:jc w:val="both"/>
        <w:rPr>
          <w:rFonts w:cs="Calibri"/>
          <w:color w:val="FF0000"/>
        </w:rPr>
      </w:pPr>
    </w:p>
    <w:p w:rsidR="009B1987" w:rsidRPr="009B1987" w:rsidRDefault="009B1987" w:rsidP="009B1987">
      <w:pPr>
        <w:ind w:left="709"/>
        <w:jc w:val="both"/>
        <w:rPr>
          <w:rFonts w:cs="Calibri"/>
        </w:rPr>
      </w:pPr>
    </w:p>
    <w:tbl>
      <w:tblPr>
        <w:tblW w:w="8789" w:type="dxa"/>
        <w:tblInd w:w="704" w:type="dxa"/>
        <w:tblCellMar>
          <w:left w:w="70" w:type="dxa"/>
          <w:right w:w="70" w:type="dxa"/>
        </w:tblCellMar>
        <w:tblLook w:val="04A0" w:firstRow="1" w:lastRow="0" w:firstColumn="1" w:lastColumn="0" w:noHBand="0" w:noVBand="1"/>
      </w:tblPr>
      <w:tblGrid>
        <w:gridCol w:w="1559"/>
        <w:gridCol w:w="7230"/>
      </w:tblGrid>
      <w:tr w:rsidR="009B1987" w:rsidRPr="009B1987" w:rsidTr="00090E82">
        <w:trPr>
          <w:trHeight w:val="346"/>
        </w:trPr>
        <w:tc>
          <w:tcPr>
            <w:tcW w:w="155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9B1987" w:rsidRPr="009B1987" w:rsidRDefault="009B1987" w:rsidP="009B1987">
            <w:pPr>
              <w:jc w:val="center"/>
              <w:rPr>
                <w:rFonts w:asciiTheme="minorHAnsi" w:eastAsia="Times New Roman" w:hAnsiTheme="minorHAnsi" w:cstheme="minorHAnsi"/>
                <w:b/>
                <w:bCs/>
                <w:color w:val="FF0000"/>
                <w:sz w:val="20"/>
                <w:szCs w:val="20"/>
                <w:lang w:eastAsia="es-ES"/>
              </w:rPr>
            </w:pPr>
            <w:r w:rsidRPr="009B1987">
              <w:rPr>
                <w:rFonts w:asciiTheme="minorHAnsi" w:eastAsia="Times New Roman" w:hAnsiTheme="minorHAnsi" w:cstheme="minorHAnsi"/>
                <w:b/>
                <w:bCs/>
                <w:color w:val="FF0000"/>
                <w:sz w:val="20"/>
                <w:szCs w:val="20"/>
                <w:lang w:eastAsia="es-ES"/>
              </w:rPr>
              <w:t>CN</w:t>
            </w:r>
          </w:p>
        </w:tc>
        <w:tc>
          <w:tcPr>
            <w:tcW w:w="7230" w:type="dxa"/>
            <w:tcBorders>
              <w:top w:val="single" w:sz="4" w:space="0" w:color="auto"/>
              <w:left w:val="nil"/>
              <w:bottom w:val="single" w:sz="4" w:space="0" w:color="auto"/>
              <w:right w:val="single" w:sz="4" w:space="0" w:color="auto"/>
            </w:tcBorders>
            <w:shd w:val="clear" w:color="000000" w:fill="BFBFBF"/>
            <w:vAlign w:val="bottom"/>
            <w:hideMark/>
          </w:tcPr>
          <w:p w:rsidR="009B1987" w:rsidRPr="009B1987" w:rsidRDefault="009B1987" w:rsidP="009B1987">
            <w:pPr>
              <w:jc w:val="center"/>
              <w:rPr>
                <w:rFonts w:asciiTheme="minorHAnsi" w:eastAsia="Times New Roman" w:hAnsiTheme="minorHAnsi" w:cstheme="minorHAnsi"/>
                <w:b/>
                <w:bCs/>
                <w:color w:val="FF0000"/>
                <w:sz w:val="20"/>
                <w:szCs w:val="20"/>
                <w:lang w:eastAsia="es-ES"/>
              </w:rPr>
            </w:pPr>
            <w:r w:rsidRPr="009B1987">
              <w:rPr>
                <w:rFonts w:asciiTheme="minorHAnsi" w:eastAsia="Times New Roman" w:hAnsiTheme="minorHAnsi" w:cstheme="minorHAnsi"/>
                <w:b/>
                <w:bCs/>
                <w:color w:val="FF0000"/>
                <w:sz w:val="20"/>
                <w:szCs w:val="20"/>
                <w:lang w:eastAsia="es-ES"/>
              </w:rPr>
              <w:t xml:space="preserve">NOMBRE </w:t>
            </w:r>
          </w:p>
        </w:tc>
      </w:tr>
      <w:tr w:rsidR="009B1987" w:rsidRPr="009B1987" w:rsidTr="003C6923">
        <w:trPr>
          <w:trHeight w:val="268"/>
        </w:trPr>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9B1987" w:rsidRPr="009B1987" w:rsidRDefault="009B1987" w:rsidP="003C6923">
            <w:pPr>
              <w:jc w:val="center"/>
              <w:rPr>
                <w:rFonts w:asciiTheme="minorHAnsi" w:eastAsia="Times New Roman" w:hAnsiTheme="minorHAnsi" w:cstheme="minorHAnsi"/>
                <w:color w:val="FF0000"/>
                <w:sz w:val="20"/>
                <w:szCs w:val="20"/>
                <w:lang w:eastAsia="es-ES"/>
              </w:rPr>
            </w:pPr>
            <w:r w:rsidRPr="009B1987">
              <w:rPr>
                <w:rFonts w:asciiTheme="minorHAnsi" w:eastAsia="Times New Roman" w:hAnsiTheme="minorHAnsi" w:cstheme="minorHAnsi"/>
                <w:color w:val="FF0000"/>
                <w:sz w:val="20"/>
                <w:szCs w:val="20"/>
                <w:lang w:eastAsia="es-ES"/>
              </w:rPr>
              <w:t>685615</w:t>
            </w:r>
          </w:p>
        </w:tc>
        <w:tc>
          <w:tcPr>
            <w:tcW w:w="7230" w:type="dxa"/>
            <w:tcBorders>
              <w:top w:val="nil"/>
              <w:left w:val="nil"/>
              <w:bottom w:val="single" w:sz="4" w:space="0" w:color="auto"/>
              <w:right w:val="single" w:sz="4" w:space="0" w:color="auto"/>
            </w:tcBorders>
            <w:shd w:val="clear" w:color="000000" w:fill="FFFFFF"/>
            <w:vAlign w:val="bottom"/>
            <w:hideMark/>
          </w:tcPr>
          <w:p w:rsidR="009B1987" w:rsidRPr="009B1987" w:rsidRDefault="009B1987" w:rsidP="009B1987">
            <w:pPr>
              <w:rPr>
                <w:rFonts w:asciiTheme="minorHAnsi" w:eastAsia="Times New Roman" w:hAnsiTheme="minorHAnsi" w:cstheme="minorHAnsi"/>
                <w:color w:val="FF0000"/>
                <w:sz w:val="20"/>
                <w:szCs w:val="20"/>
                <w:lang w:eastAsia="es-ES"/>
              </w:rPr>
            </w:pPr>
            <w:r w:rsidRPr="009B1987">
              <w:rPr>
                <w:rFonts w:asciiTheme="minorHAnsi" w:eastAsia="Times New Roman" w:hAnsiTheme="minorHAnsi" w:cstheme="minorHAnsi"/>
                <w:color w:val="FF0000"/>
                <w:sz w:val="20"/>
                <w:szCs w:val="20"/>
                <w:lang w:eastAsia="es-ES"/>
              </w:rPr>
              <w:t>LEUPRORELINA GP-PHARM DEPOT MENSUAL 3,75MG 1 VIAL + 1 JERINGA POLVO Y DISOLVENTE PARA SUSPENS LIBERAC PROLONG INYECT</w:t>
            </w:r>
          </w:p>
        </w:tc>
      </w:tr>
    </w:tbl>
    <w:p w:rsidR="009B1987" w:rsidRPr="009B1987" w:rsidRDefault="009B1987" w:rsidP="009B1987">
      <w:pPr>
        <w:ind w:left="709"/>
        <w:jc w:val="both"/>
        <w:rPr>
          <w:rFonts w:cs="Calibri"/>
        </w:rPr>
      </w:pPr>
    </w:p>
    <w:p w:rsidR="009B1987" w:rsidRPr="009B1987" w:rsidRDefault="009B1987" w:rsidP="009B1987">
      <w:pPr>
        <w:ind w:left="709"/>
        <w:jc w:val="both"/>
        <w:rPr>
          <w:rFonts w:cs="Calibri"/>
        </w:rPr>
      </w:pPr>
    </w:p>
    <w:p w:rsidR="00E23866" w:rsidRDefault="00D5098C" w:rsidP="002E0419">
      <w:pPr>
        <w:ind w:left="709"/>
        <w:jc w:val="both"/>
        <w:rPr>
          <w:rFonts w:asciiTheme="minorHAnsi" w:hAnsiTheme="minorHAnsi" w:cs="Arial"/>
          <w:b/>
        </w:rPr>
      </w:pPr>
      <w:r w:rsidRPr="00AD17F1">
        <w:rPr>
          <w:rFonts w:eastAsia="Times New Roman" w:cs="Calibri"/>
          <w:color w:val="FF0000"/>
          <w:lang w:eastAsia="es-ES"/>
        </w:rPr>
        <w:t xml:space="preserve"> </w:t>
      </w:r>
    </w:p>
    <w:p w:rsidR="00E23866" w:rsidRPr="00AC4343" w:rsidRDefault="00E23866" w:rsidP="00E23866">
      <w:pPr>
        <w:jc w:val="center"/>
        <w:rPr>
          <w:rFonts w:asciiTheme="minorHAnsi" w:hAnsiTheme="minorHAnsi" w:cstheme="minorHAnsi"/>
        </w:rPr>
      </w:pPr>
      <w:r w:rsidRPr="00AC4343">
        <w:rPr>
          <w:rFonts w:asciiTheme="minorHAnsi" w:hAnsiTheme="minorHAnsi" w:cstheme="minorHAnsi"/>
        </w:rPr>
        <w:t>El Subdirector General de Farmacia</w:t>
      </w:r>
    </w:p>
    <w:p w:rsidR="00E23866" w:rsidRDefault="00E23866" w:rsidP="00E23866">
      <w:pPr>
        <w:jc w:val="center"/>
        <w:rPr>
          <w:rFonts w:asciiTheme="minorHAnsi" w:hAnsiTheme="minorHAnsi" w:cstheme="minorHAnsi"/>
        </w:rPr>
      </w:pPr>
    </w:p>
    <w:p w:rsidR="00AB6BCD" w:rsidRDefault="00AB6BCD" w:rsidP="00E23866">
      <w:pPr>
        <w:jc w:val="center"/>
        <w:rPr>
          <w:rFonts w:asciiTheme="minorHAnsi" w:hAnsiTheme="minorHAnsi" w:cstheme="minorHAnsi"/>
        </w:rPr>
      </w:pPr>
    </w:p>
    <w:p w:rsidR="00E23866" w:rsidRPr="00AC4343" w:rsidRDefault="00E23866" w:rsidP="00E23866">
      <w:pPr>
        <w:jc w:val="center"/>
        <w:rPr>
          <w:rFonts w:asciiTheme="minorHAnsi" w:hAnsiTheme="minorHAnsi" w:cstheme="minorHAnsi"/>
        </w:rPr>
      </w:pPr>
      <w:r w:rsidRPr="00AC4343">
        <w:rPr>
          <w:rFonts w:asciiTheme="minorHAnsi" w:hAnsiTheme="minorHAnsi" w:cstheme="minorHAnsi"/>
        </w:rPr>
        <w:t>Javier García del Pozo</w:t>
      </w:r>
    </w:p>
    <w:sectPr w:rsidR="00E23866" w:rsidRPr="00AC4343" w:rsidSect="00674E9F">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991" w:bottom="130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E82" w:rsidRDefault="00090E82" w:rsidP="00DE4E1B">
      <w:r>
        <w:separator/>
      </w:r>
    </w:p>
  </w:endnote>
  <w:endnote w:type="continuationSeparator" w:id="0">
    <w:p w:rsidR="00090E82" w:rsidRDefault="00090E82" w:rsidP="00DE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82" w:rsidRDefault="00090E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90E82" w:rsidTr="00176E0B">
      <w:tc>
        <w:tcPr>
          <w:tcW w:w="4606" w:type="dxa"/>
        </w:tcPr>
        <w:p w:rsidR="00090E82" w:rsidRDefault="00090E82" w:rsidP="001C48BD">
          <w:pPr>
            <w:pStyle w:val="Piedepgina"/>
            <w:tabs>
              <w:tab w:val="left" w:pos="8313"/>
            </w:tabs>
          </w:pPr>
          <w:r>
            <w:fldChar w:fldCharType="begin"/>
          </w:r>
          <w:r>
            <w:instrText>PAGE   \* MERGEFORMAT</w:instrText>
          </w:r>
          <w:r>
            <w:fldChar w:fldCharType="separate"/>
          </w:r>
          <w:r w:rsidR="008A6B2F">
            <w:rPr>
              <w:noProof/>
            </w:rPr>
            <w:t>17</w:t>
          </w:r>
          <w:r>
            <w:fldChar w:fldCharType="end"/>
          </w:r>
        </w:p>
      </w:tc>
      <w:tc>
        <w:tcPr>
          <w:tcW w:w="4606" w:type="dxa"/>
        </w:tcPr>
        <w:p w:rsidR="00090E82" w:rsidRDefault="00090E82" w:rsidP="001C48BD">
          <w:pPr>
            <w:pStyle w:val="Piedepgina"/>
            <w:tabs>
              <w:tab w:val="left" w:pos="8313"/>
            </w:tabs>
          </w:pPr>
        </w:p>
      </w:tc>
    </w:tr>
  </w:tbl>
  <w:p w:rsidR="00090E82" w:rsidRDefault="00090E82" w:rsidP="001C48BD">
    <w:pPr>
      <w:pStyle w:val="Piedepgina"/>
      <w:tabs>
        <w:tab w:val="left" w:pos="8313"/>
      </w:tabs>
    </w:pPr>
    <w:r>
      <w:rPr>
        <w:noProof/>
        <w:lang w:eastAsia="es-ES"/>
      </w:rPr>
      <mc:AlternateContent>
        <mc:Choice Requires="wps">
          <w:drawing>
            <wp:anchor distT="0" distB="0" distL="114300" distR="114300" simplePos="0" relativeHeight="251672576" behindDoc="0" locked="0" layoutInCell="1" allowOverlap="1" wp14:anchorId="0452FF09" wp14:editId="7F0E9E35">
              <wp:simplePos x="0" y="0"/>
              <wp:positionH relativeFrom="column">
                <wp:posOffset>4911552</wp:posOffset>
              </wp:positionH>
              <wp:positionV relativeFrom="paragraph">
                <wp:posOffset>-110317</wp:posOffset>
              </wp:positionV>
              <wp:extent cx="1461654" cy="0"/>
              <wp:effectExtent l="0" t="0" r="24765" b="19050"/>
              <wp:wrapNone/>
              <wp:docPr id="8" name="8 Conector recto"/>
              <wp:cNvGraphicFramePr/>
              <a:graphic xmlns:a="http://schemas.openxmlformats.org/drawingml/2006/main">
                <a:graphicData uri="http://schemas.microsoft.com/office/word/2010/wordprocessingShape">
                  <wps:wsp>
                    <wps:cNvCnPr/>
                    <wps:spPr>
                      <a:xfrm>
                        <a:off x="0" y="0"/>
                        <a:ext cx="14616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A9172" id="8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75pt,-8.7pt" to="501.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7MsQEAALMDAAAOAAAAZHJzL2Uyb0RvYy54bWysU01v2zAMvQ/YfxB0X2wXbVAYcXJIsV2G&#10;NVi7H6DKVCxUX6C02Pn3o5TEHdphGIZeJFF6j+QjqdVmsoYdAKP2ruPNouYMnPS9dvuO/3j8/OmW&#10;s5iE64XxDjp+hMg3648fVmNo4coP3vSAjJy42I6h40NKoa2qKAewIi58AEePyqMViUzcVz2Kkbxb&#10;U13V9bIaPfYBvYQY6fbu9MjXxb9SINO9UhESMx2n3FJZsaxPea3WK9HuUYRBy3Ma4j+ysEI7Cjq7&#10;uhNJsJ+o37iyWqKPXqWF9LbySmkJRQOpaepXah4GEaBooeLEMJcpvp9b+e2wQ6b7jlOjnLDUolu2&#10;pVbJ5JFh3nKNxhBbgm7dDs9WDDvMgieFNu8khU2lrse5rjAlJumyuV42y5trzuTlrXohBozpC3jL&#10;8qHjRrssWbTi8DUmCkbQC4SMnMgpdDmlo4EMNu47KJKRgxV2GSDYGmQHQa3vn5ssg3wVZKYobcxM&#10;qv9OOmMzDcpQ/StxRpeI3qWZaLXz+Keoabqkqk74i+qT1iz7yffH0ohSDpqMouw8xXn0frcL/eWv&#10;rX8BAAD//wMAUEsDBBQABgAIAAAAIQCywDha4AAAAAwBAAAPAAAAZHJzL2Rvd25yZXYueG1sTI/L&#10;TsMwEEX3SP0Ha5DYtXYp1FWIU1U8VrBIAwuWbjwkUeNxFLtJ4OtxpUqwnJmrM+em28m2bMDeN44U&#10;LBcCGFLpTEOVgo/3l/kGmA+ajG4doYJv9LDNZlepTowbaY9DESoWIeQTraAOoUs492WNVvuF65Di&#10;7cv1Voc49hU3vR4j3Lb8Vog1t7qh+KHWHT7WWB6Lk1Ugn1+LvBuf3n5yLnmeDy5sjp9K3VxPuwdg&#10;AafwF4azflSHLDod3ImMZ21kyNV9jCqYL+UdsHNCiJUEdriseJby/yWyXwAAAP//AwBQSwECLQAU&#10;AAYACAAAACEAtoM4kv4AAADhAQAAEwAAAAAAAAAAAAAAAAAAAAAAW0NvbnRlbnRfVHlwZXNdLnht&#10;bFBLAQItABQABgAIAAAAIQA4/SH/1gAAAJQBAAALAAAAAAAAAAAAAAAAAC8BAABfcmVscy8ucmVs&#10;c1BLAQItABQABgAIAAAAIQBCgu7MsQEAALMDAAAOAAAAAAAAAAAAAAAAAC4CAABkcnMvZTJvRG9j&#10;LnhtbFBLAQItABQABgAIAAAAIQCywDha4AAAAAwBAAAPAAAAAAAAAAAAAAAAAAsEAABkcnMvZG93&#10;bnJldi54bWxQSwUGAAAAAAQABADzAAAAGAUAAAAA&#10;" strokecolor="black [3040]"/>
          </w:pict>
        </mc:Fallback>
      </mc:AlternateContent>
    </w:r>
    <w:r>
      <w:rPr>
        <w:noProof/>
        <w:lang w:eastAsia="es-ES"/>
      </w:rPr>
      <mc:AlternateContent>
        <mc:Choice Requires="wps">
          <w:drawing>
            <wp:anchor distT="0" distB="0" distL="114300" distR="114300" simplePos="0" relativeHeight="251671552" behindDoc="0" locked="0" layoutInCell="1" allowOverlap="1" wp14:anchorId="6ED86251" wp14:editId="7E40C26C">
              <wp:simplePos x="0" y="0"/>
              <wp:positionH relativeFrom="column">
                <wp:posOffset>4828426</wp:posOffset>
              </wp:positionH>
              <wp:positionV relativeFrom="paragraph">
                <wp:posOffset>-110317</wp:posOffset>
              </wp:positionV>
              <wp:extent cx="1648690" cy="506730"/>
              <wp:effectExtent l="0" t="0" r="8890" b="7620"/>
              <wp:wrapNone/>
              <wp:docPr id="7" name="7 Cuadro de texto"/>
              <wp:cNvGraphicFramePr/>
              <a:graphic xmlns:a="http://schemas.openxmlformats.org/drawingml/2006/main">
                <a:graphicData uri="http://schemas.microsoft.com/office/word/2010/wordprocessingShape">
                  <wps:wsp>
                    <wps:cNvSpPr txBox="1"/>
                    <wps:spPr>
                      <a:xfrm>
                        <a:off x="0" y="0"/>
                        <a:ext cx="1648690" cy="506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0E82" w:rsidRPr="002823E8" w:rsidRDefault="00090E82" w:rsidP="007B36D9">
                          <w:pPr>
                            <w:ind w:right="-2"/>
                            <w:jc w:val="right"/>
                            <w:rPr>
                              <w:rFonts w:ascii="MS UI Gothic" w:eastAsia="MS UI Gothic" w:hAnsi="MS UI Gothic" w:cs="Arial"/>
                              <w:sz w:val="14"/>
                              <w:szCs w:val="14"/>
                            </w:rPr>
                          </w:pPr>
                          <w:r>
                            <w:rPr>
                              <w:rFonts w:ascii="MS UI Gothic" w:eastAsia="MS UI Gothic" w:hAnsi="MS UI Gothic" w:cs="Arial"/>
                              <w:sz w:val="14"/>
                              <w:szCs w:val="14"/>
                            </w:rPr>
                            <w:t>MINISTERIO DE SANIDAD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D86251" id="_x0000_t202" coordsize="21600,21600" o:spt="202" path="m,l,21600r21600,l21600,xe">
              <v:stroke joinstyle="miter"/>
              <v:path gradientshapeok="t" o:connecttype="rect"/>
            </v:shapetype>
            <v:shape id="7 Cuadro de texto" o:spid="_x0000_s1026" type="#_x0000_t202" style="position:absolute;margin-left:380.2pt;margin-top:-8.7pt;width:129.8pt;height:39.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26ljwIAAJEFAAAOAAAAZHJzL2Uyb0RvYy54bWysVEtvGyEQvlfqf0Dc67UTx06srCPXUapK&#10;URLVqXLGLNiowFDA3nV/fQd2/WiaS6pedgfmmxnmm8f1TWM02QofFNiSDnp9SoTlUCm7Kun357tP&#10;l5SEyGzFNFhR0p0I9Gb68cN17SbiDNagK+EJOrFhUruSrmN0k6IIfC0MCz1wwqJSgjcs4tGvisqz&#10;Gr0bXZz1+6OiBl85D1yEgLe3rZJOs38pBY+PUgYRiS4pvi3mr8/fZfoW02s2WXnm1op3z2D/8ArD&#10;lMWgB1e3LDKy8eovV0ZxDwFk7HEwBUipuMg5YDaD/qtsFmvmRM4FyQnuQFP4f275w/bJE1WVdEyJ&#10;ZQZLNCbzDas8kEqQKJoIiaTahQliFw7RsfkMDRZ7fx/wMuXeSG/SH7MiqEe6dweK0Q/hyWg0vBxd&#10;oYqj7qI/Gp/nGhRHa+dD/CLAkCSU1GMJM7Nsex8ivgShe0gKFkCr6k5pnQ+pbcRce7JlWHAd8xvR&#10;4g+UtqQu6ej8op8dW0jmrWdtkxuRG6cLlzJvM8xS3GmRMNp+ExKJy4m+EZtxLuwhfkYnlMRQ7zHs&#10;8MdXvce4zQMtcmSw8WBslAWfs8+TdqSs+rGnTLZ4JPwk7yTGZtl0HbGEaocN4aGdq+D4ncKq3bMQ&#10;n5jHQcJC43KIj/iRGpB16CRK1uB/vXWf8NjfqKWkxsEsafi5YV5Qor9a7PyrwXCYJjkfhhfjMzz4&#10;U83yVGM3Zg7YCgNcQ45nMeGj3ovSg3nBHTJLUVHFLMfYJY17cR7bdYE7iIvZLINwdh2L93bheHKd&#10;6E09+dy8MO+6xk2j8wD7EWaTV/3bYpOlhdkmglS5uRPBLasd8Tj3uee7HZUWy+k5o46bdPobAAD/&#10;/wMAUEsDBBQABgAIAAAAIQDrKLU+4gAAAAsBAAAPAAAAZHJzL2Rvd25yZXYueG1sTI/LTsMwEEX3&#10;SPyDNUhsUOv0QYJCnAohHlJ3NLSInRsPSUQ8jmI3CX/PdAW7Gc3RvWeyzWRbMWDvG0cKFvMIBFLp&#10;TEOVgvfieXYHwgdNRreOUMEPetjklxeZTo0b6Q2HXagEh5BPtYI6hC6V0pc1Wu3nrkPi25frrQ68&#10;9pU0vR453LZyGUWxtLohbqh1h481lt+7k1XweVN9bP30sh9Xt6vu6XUokoMplLq+mh7uQQScwh8M&#10;Z31Wh5ydju5ExotWQRJHa0YVzBYJD2ci4kYQRwXxcg0yz+T/H/JfAAAA//8DAFBLAQItABQABgAI&#10;AAAAIQC2gziS/gAAAOEBAAATAAAAAAAAAAAAAAAAAAAAAABbQ29udGVudF9UeXBlc10ueG1sUEsB&#10;Ai0AFAAGAAgAAAAhADj9If/WAAAAlAEAAAsAAAAAAAAAAAAAAAAALwEAAF9yZWxzLy5yZWxzUEsB&#10;Ai0AFAAGAAgAAAAhABljbqWPAgAAkQUAAA4AAAAAAAAAAAAAAAAALgIAAGRycy9lMm9Eb2MueG1s&#10;UEsBAi0AFAAGAAgAAAAhAOsotT7iAAAACwEAAA8AAAAAAAAAAAAAAAAA6QQAAGRycy9kb3ducmV2&#10;LnhtbFBLBQYAAAAABAAEAPMAAAD4BQAAAAA=&#10;" fillcolor="white [3201]" stroked="f" strokeweight=".5pt">
              <v:textbox>
                <w:txbxContent>
                  <w:p w:rsidR="008B5BC5" w:rsidRPr="002823E8" w:rsidRDefault="008B5BC5" w:rsidP="007B36D9">
                    <w:pPr>
                      <w:ind w:right="-2"/>
                      <w:jc w:val="right"/>
                      <w:rPr>
                        <w:rFonts w:ascii="MS UI Gothic" w:eastAsia="MS UI Gothic" w:hAnsi="MS UI Gothic" w:cs="Arial"/>
                        <w:sz w:val="14"/>
                        <w:szCs w:val="14"/>
                      </w:rPr>
                    </w:pPr>
                    <w:r>
                      <w:rPr>
                        <w:rFonts w:ascii="MS UI Gothic" w:eastAsia="MS UI Gothic" w:hAnsi="MS UI Gothic" w:cs="Arial"/>
                        <w:sz w:val="14"/>
                        <w:szCs w:val="14"/>
                      </w:rPr>
                      <w:t>MINISTERIO DE SANIDAD</w:t>
                    </w:r>
                  </w:p>
                </w:txbxContent>
              </v:textbox>
            </v:shape>
          </w:pict>
        </mc:Fallback>
      </mc:AlternateContent>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82" w:rsidRDefault="00090E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E82" w:rsidRDefault="00090E82" w:rsidP="00DE4E1B">
      <w:r>
        <w:separator/>
      </w:r>
    </w:p>
  </w:footnote>
  <w:footnote w:type="continuationSeparator" w:id="0">
    <w:p w:rsidR="00090E82" w:rsidRDefault="00090E82" w:rsidP="00DE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82" w:rsidRDefault="00090E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82" w:rsidRDefault="00090E82" w:rsidP="00DE4E1B">
    <w:pPr>
      <w:pStyle w:val="Encabezado"/>
      <w:ind w:left="-851"/>
      <w:rPr>
        <w:noProof/>
        <w:lang w:eastAsia="es-ES"/>
      </w:rPr>
    </w:pPr>
    <w:r>
      <w:rPr>
        <w:rFonts w:ascii="Trebuchet MS" w:hAnsi="Trebuchet MS"/>
        <w:noProof/>
        <w:sz w:val="24"/>
        <w:szCs w:val="24"/>
        <w:lang w:eastAsia="es-ES"/>
      </w:rPr>
      <w:drawing>
        <wp:anchor distT="0" distB="0" distL="114300" distR="114300" simplePos="0" relativeHeight="251670528" behindDoc="0" locked="0" layoutInCell="1" allowOverlap="1" wp14:anchorId="34582D6B" wp14:editId="35D34035">
          <wp:simplePos x="0" y="0"/>
          <wp:positionH relativeFrom="column">
            <wp:posOffset>5674360</wp:posOffset>
          </wp:positionH>
          <wp:positionV relativeFrom="paragraph">
            <wp:posOffset>-26670</wp:posOffset>
          </wp:positionV>
          <wp:extent cx="481330" cy="506730"/>
          <wp:effectExtent l="0" t="0" r="0" b="762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E82" w:rsidRDefault="00090E82" w:rsidP="00DE4E1B">
    <w:pPr>
      <w:pStyle w:val="Encabezado"/>
      <w:ind w:left="-85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82" w:rsidRPr="001C48BD" w:rsidRDefault="00090E82">
    <w:pPr>
      <w:pStyle w:val="Encabezado"/>
      <w:rPr>
        <w:rFonts w:ascii="Trebuchet MS" w:eastAsiaTheme="minorEastAsia" w:hAnsi="Trebuchet MS" w:cstheme="minorBidi"/>
        <w:sz w:val="24"/>
        <w:szCs w:val="24"/>
        <w:lang w:eastAsia="es-ES"/>
      </w:rPr>
    </w:pPr>
    <w:r w:rsidRPr="002B10AD">
      <w:rPr>
        <w:rFonts w:ascii="Trebuchet MS" w:eastAsiaTheme="minorEastAsia" w:hAnsi="Trebuchet MS" w:cstheme="minorBidi"/>
        <w:noProof/>
        <w:sz w:val="24"/>
        <w:szCs w:val="24"/>
        <w:lang w:eastAsia="es-ES"/>
      </w:rPr>
      <mc:AlternateContent>
        <mc:Choice Requires="wps">
          <w:drawing>
            <wp:anchor distT="0" distB="0" distL="114300" distR="114300" simplePos="0" relativeHeight="251675648" behindDoc="0" locked="0" layoutInCell="1" allowOverlap="1" wp14:anchorId="156F92F6" wp14:editId="7465A63B">
              <wp:simplePos x="0" y="0"/>
              <wp:positionH relativeFrom="column">
                <wp:posOffset>4606290</wp:posOffset>
              </wp:positionH>
              <wp:positionV relativeFrom="paragraph">
                <wp:posOffset>692150</wp:posOffset>
              </wp:positionV>
              <wp:extent cx="1530985" cy="0"/>
              <wp:effectExtent l="0" t="0" r="12065" b="19050"/>
              <wp:wrapNone/>
              <wp:docPr id="9" name="9 Conector recto"/>
              <wp:cNvGraphicFramePr/>
              <a:graphic xmlns:a="http://schemas.openxmlformats.org/drawingml/2006/main">
                <a:graphicData uri="http://schemas.microsoft.com/office/word/2010/wordprocessingShape">
                  <wps:wsp>
                    <wps:cNvCnPr/>
                    <wps:spPr>
                      <a:xfrm>
                        <a:off x="0" y="0"/>
                        <a:ext cx="15309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E8893C" id="9 Conector recto"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7pt,54.5pt" to="483.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53tAEAAL8DAAAOAAAAZHJzL2Uyb0RvYy54bWysU02PGyEMvVfqf0Dcm5lstdVmlMkestpe&#10;qjbqxw9gGZNBAowMzST/voYks1VbqWq1F8DgZ/s9m/X90TtxAEoWQy+Xi1YKCBoHG/a9/Pb18c2d&#10;FCmrMCiHAXp5giTvN69frafYwQ2O6AYgwUFC6qbYyzHn2DVN0iN4lRYYIfCjQfIqs0n7ZiA1cXTv&#10;mpu2fddMSEMk1JAS3z6cH+WmxjcGdP5kTIIsXC+5tlxXqutTWZvNWnV7UnG0+lKG+o8qvLKBk86h&#10;HlRW4jvZ30J5qwkTmrzQ6Bs0xmqoHJjNsv2FzZdRRahcWJwUZ5nSy4XVHw87Enbo5UqKoDy3aCW2&#10;3CqdkQSVrWg0xdSx6zbs6GKluKNC+GjIl52piGPV9TTrCscsNF8ub9+2q7tbKfT1rXkGRkr5PaAX&#10;5dBLZ0OhrDp1+JAyJ2PXqwsbpZBz6nrKJwfF2YXPYJhGSVbRdYBg60gcFLdeaQ0hLwsVjle9C8xY&#10;52Zg+3fgxb9AoQ7Xv4BnRM2MIc9gbwPSn7Ln47Vkc/a/KnDmXSR4wuFUm1Kl4SmpDC8TXcbwZ7vC&#10;n//d5gcAAAD//wMAUEsDBBQABgAIAAAAIQBvjmSy4AAAAAsBAAAPAAAAZHJzL2Rvd25yZXYueG1s&#10;TI9RS8NAEITfBf/DsYIv0l4sTWxjLkWF0gcVsekPuObWJJjbC7lLmvrrXUHQx535mJ3JNpNtxYi9&#10;bxwpuJ1HIJBKZxqqFByK7WwFwgdNRreOUMEZPWzyy4tMp8ad6B3HfagEh5BPtYI6hC6V0pc1Wu3n&#10;rkNi78P1Vgc++0qaXp843LZyEUWJtLoh/lDrDp9qLD/3g1Ww2z7ic3weqqWJd8XNWLy8fr2tlLq+&#10;mh7uQQScwh8MP/W5OuTc6egGMl60Cu4W8ZJRNqI1j2JinSQxiOOvIvNM/t+QfwMAAP//AwBQSwEC&#10;LQAUAAYACAAAACEAtoM4kv4AAADhAQAAEwAAAAAAAAAAAAAAAAAAAAAAW0NvbnRlbnRfVHlwZXNd&#10;LnhtbFBLAQItABQABgAIAAAAIQA4/SH/1gAAAJQBAAALAAAAAAAAAAAAAAAAAC8BAABfcmVscy8u&#10;cmVsc1BLAQItABQABgAIAAAAIQDcT853tAEAAL8DAAAOAAAAAAAAAAAAAAAAAC4CAABkcnMvZTJv&#10;RG9jLnhtbFBLAQItABQABgAIAAAAIQBvjmSy4AAAAAsBAAAPAAAAAAAAAAAAAAAAAA4EAABkcnMv&#10;ZG93bnJldi54bWxQSwUGAAAAAAQABADzAAAAGwUAAAAA&#10;" strokecolor="#4e92d1 [3044]"/>
          </w:pict>
        </mc:Fallback>
      </mc:AlternateContent>
    </w:r>
    <w:r w:rsidRPr="001C48BD">
      <w:rPr>
        <w:rFonts w:ascii="Trebuchet MS" w:eastAsiaTheme="minorEastAsia" w:hAnsi="Trebuchet MS" w:cstheme="minorBidi"/>
        <w:noProof/>
        <w:sz w:val="24"/>
        <w:szCs w:val="24"/>
        <w:lang w:eastAsia="es-ES"/>
      </w:rPr>
      <mc:AlternateContent>
        <mc:Choice Requires="wps">
          <w:drawing>
            <wp:anchor distT="0" distB="0" distL="114300" distR="114300" simplePos="0" relativeHeight="251674624" behindDoc="0" locked="0" layoutInCell="1" allowOverlap="1" wp14:anchorId="7AA70E7B" wp14:editId="75E377FF">
              <wp:simplePos x="0" y="0"/>
              <wp:positionH relativeFrom="column">
                <wp:posOffset>4460875</wp:posOffset>
              </wp:positionH>
              <wp:positionV relativeFrom="paragraph">
                <wp:posOffset>740410</wp:posOffset>
              </wp:positionV>
              <wp:extent cx="1771015" cy="387350"/>
              <wp:effectExtent l="0" t="0" r="635" b="0"/>
              <wp:wrapNone/>
              <wp:docPr id="5" name="5 Cuadro de texto"/>
              <wp:cNvGraphicFramePr/>
              <a:graphic xmlns:a="http://schemas.openxmlformats.org/drawingml/2006/main">
                <a:graphicData uri="http://schemas.microsoft.com/office/word/2010/wordprocessingShape">
                  <wps:wsp>
                    <wps:cNvSpPr txBox="1"/>
                    <wps:spPr>
                      <a:xfrm>
                        <a:off x="0" y="0"/>
                        <a:ext cx="1771015" cy="387350"/>
                      </a:xfrm>
                      <a:prstGeom prst="rect">
                        <a:avLst/>
                      </a:prstGeom>
                      <a:solidFill>
                        <a:sysClr val="window" lastClr="FFFFFF"/>
                      </a:solidFill>
                      <a:ln w="6350">
                        <a:noFill/>
                      </a:ln>
                      <a:effectLst/>
                    </wps:spPr>
                    <wps:txbx>
                      <w:txbxContent>
                        <w:p w:rsidR="00090E82" w:rsidRPr="009406C9" w:rsidRDefault="00090E82" w:rsidP="00D74255">
                          <w:pPr>
                            <w:ind w:left="142" w:right="140"/>
                            <w:jc w:val="center"/>
                            <w:rPr>
                              <w:rFonts w:ascii="MS UI Gothic" w:eastAsia="MS UI Gothic" w:hAnsi="MS UI Gothic"/>
                              <w:sz w:val="14"/>
                              <w:szCs w:val="14"/>
                            </w:rPr>
                          </w:pPr>
                          <w:r w:rsidRPr="009406C9">
                            <w:rPr>
                              <w:rFonts w:ascii="MS UI Gothic" w:eastAsia="MS UI Gothic" w:hAnsi="MS UI Gothic"/>
                              <w:sz w:val="14"/>
                              <w:szCs w:val="14"/>
                            </w:rPr>
                            <w:t xml:space="preserve">Subdirección General </w:t>
                          </w:r>
                          <w:r>
                            <w:rPr>
                              <w:rFonts w:ascii="MS UI Gothic" w:eastAsia="MS UI Gothic" w:hAnsi="MS UI Gothic"/>
                              <w:sz w:val="14"/>
                              <w:szCs w:val="14"/>
                            </w:rPr>
                            <w:t>de Farmacia</w:t>
                          </w:r>
                        </w:p>
                        <w:p w:rsidR="00090E82" w:rsidRDefault="00090E82" w:rsidP="00D74255"/>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70E7B" id="_x0000_t202" coordsize="21600,21600" o:spt="202" path="m,l,21600r21600,l21600,xe">
              <v:stroke joinstyle="miter"/>
              <v:path gradientshapeok="t" o:connecttype="rect"/>
            </v:shapetype>
            <v:shape id="5 Cuadro de texto" o:spid="_x0000_s1027" type="#_x0000_t202" style="position:absolute;margin-left:351.25pt;margin-top:58.3pt;width:139.45pt;height: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4UwIAAJ4EAAAOAAAAZHJzL2Uyb0RvYy54bWysVE1v2zAMvQ/YfxB0X+206AeCOkWWIsOA&#10;oh3QDj0rstwYkEVNUmJnv36PcpJ23U7DclAokuLHe6Svb4bOiq0JsSVXyclJKYVxmurWvVTy+9Py&#10;05UUMSlXK0vOVHJnoryZffxw3fupOaU12doEgSAuTntfyXVKfloUUa9Np+IJeeNgbCh0KuEaXoo6&#10;qB7RO1ucluVF0VOofSBtYoT2djTKWY7fNEanh6aJJglbSdSW8hnyueKzmF2r6UtQft3qfRnqH6ro&#10;VOuQ9BjqViUlNqH9I1TX6kCRmnSiqSuoaVptcg/oZlK+6+ZxrbzJvQCc6I8wxf8XVt9vvwXR1pU8&#10;l8KpDhSdi8VG1YFEbUQyQyIGqfdxCt9HD+80fKYBZB/0EUrufWhCx//oSsAOuHdHiBFHaH50eTkp&#10;J8ilYTu7ujw7zxwUr699iOmLoU6wUMkACjOyansXEyqB68GFk0Wybb1src2XXVzYILYKbGNIauql&#10;sComKCu5zD8uGiF+e2ad6Ct5wbVwFEccb/SzjjUmT9I+P0MxtsxSGlZDxu8Ix4rqHVAKNA5b9HrZ&#10;opU71PFNBUwXgMHGpAccjSVkpr0kxZrCz7/p2R+kwypFj2mtZPyxUcGgva8O48CjnYWzi7LEJRy0&#10;q7dat+kWBGgm2Emvs8i+yR7EJlD3jIWaczaYlNPIWcl0EBdp3B0spDbzeXbCIHuV7tyj1xya8WKC&#10;noZnFfyeRZ6jezrMs5q+I3P0HbGfbxI1bWaa8R3RBGd8wRJk9vYLy1v29p69Xj8rs18AAAD//wMA&#10;UEsDBBQABgAIAAAAIQBNs2nd4AAAAAsBAAAPAAAAZHJzL2Rvd25yZXYueG1sTI/LTsMwEEX3SPyD&#10;NUhsEHVSlaQJcSpU8Vi3wIKd40weIh5HsZuGv2dYleXMPbpzptgtdhAzTr53pCBeRSCQjKt7ahV8&#10;vL/cb0H4oKnWgyNU8IMeduX1VaHz2p3pgPMxtIJLyOdaQRfCmEvpTYdW+5UbkThr3GR14HFqZT3p&#10;M5fbQa6jKJFW98QXOj3ivkPzfTxZBa/V2+HTZHTXtF+0z8bnZmPcrNTtzfL0CCLgEi4w/OmzOpTs&#10;VLkT1V4MCtJo/cAoB3GSgGAi28YbEBVv0jQBWRby/w/lLwAAAP//AwBQSwECLQAUAAYACAAAACEA&#10;toM4kv4AAADhAQAAEwAAAAAAAAAAAAAAAAAAAAAAW0NvbnRlbnRfVHlwZXNdLnhtbFBLAQItABQA&#10;BgAIAAAAIQA4/SH/1gAAAJQBAAALAAAAAAAAAAAAAAAAAC8BAABfcmVscy8ucmVsc1BLAQItABQA&#10;BgAIAAAAIQCWDf/4UwIAAJ4EAAAOAAAAAAAAAAAAAAAAAC4CAABkcnMvZTJvRG9jLnhtbFBLAQIt&#10;ABQABgAIAAAAIQBNs2nd4AAAAAsBAAAPAAAAAAAAAAAAAAAAAK0EAABkcnMvZG93bnJldi54bWxQ&#10;SwUGAAAAAAQABADzAAAAugUAAAAA&#10;" fillcolor="window" stroked="f" strokeweight=".5pt">
              <v:textbox inset="0,1mm,0,1mm">
                <w:txbxContent>
                  <w:p w:rsidR="008B5BC5" w:rsidRPr="009406C9" w:rsidRDefault="008B5BC5" w:rsidP="00D74255">
                    <w:pPr>
                      <w:ind w:left="142" w:right="140"/>
                      <w:jc w:val="center"/>
                      <w:rPr>
                        <w:rFonts w:ascii="MS UI Gothic" w:eastAsia="MS UI Gothic" w:hAnsi="MS UI Gothic"/>
                        <w:sz w:val="14"/>
                        <w:szCs w:val="14"/>
                      </w:rPr>
                    </w:pPr>
                    <w:r w:rsidRPr="009406C9">
                      <w:rPr>
                        <w:rFonts w:ascii="MS UI Gothic" w:eastAsia="MS UI Gothic" w:hAnsi="MS UI Gothic"/>
                        <w:sz w:val="14"/>
                        <w:szCs w:val="14"/>
                      </w:rPr>
                      <w:t xml:space="preserve">Subdirección General </w:t>
                    </w:r>
                    <w:r>
                      <w:rPr>
                        <w:rFonts w:ascii="MS UI Gothic" w:eastAsia="MS UI Gothic" w:hAnsi="MS UI Gothic"/>
                        <w:sz w:val="14"/>
                        <w:szCs w:val="14"/>
                      </w:rPr>
                      <w:t>de Farmacia</w:t>
                    </w:r>
                  </w:p>
                  <w:p w:rsidR="008B5BC5" w:rsidRDefault="008B5BC5" w:rsidP="00D74255"/>
                </w:txbxContent>
              </v:textbox>
            </v:shape>
          </w:pict>
        </mc:Fallback>
      </mc:AlternateContent>
    </w:r>
    <w:r w:rsidRPr="001C48BD">
      <w:rPr>
        <w:rFonts w:ascii="Trebuchet MS" w:eastAsiaTheme="minorEastAsia" w:hAnsi="Trebuchet MS" w:cstheme="minorBidi"/>
        <w:noProof/>
        <w:sz w:val="24"/>
        <w:szCs w:val="24"/>
        <w:lang w:eastAsia="es-ES"/>
      </w:rPr>
      <mc:AlternateContent>
        <mc:Choice Requires="wps">
          <w:drawing>
            <wp:anchor distT="0" distB="0" distL="114300" distR="114300" simplePos="0" relativeHeight="251668480" behindDoc="0" locked="0" layoutInCell="1" allowOverlap="1" wp14:anchorId="327F6075" wp14:editId="5BA434DB">
              <wp:simplePos x="0" y="0"/>
              <wp:positionH relativeFrom="column">
                <wp:posOffset>4460875</wp:posOffset>
              </wp:positionH>
              <wp:positionV relativeFrom="paragraph">
                <wp:posOffset>352425</wp:posOffset>
              </wp:positionV>
              <wp:extent cx="1771015" cy="340360"/>
              <wp:effectExtent l="0" t="0" r="635" b="2540"/>
              <wp:wrapNone/>
              <wp:docPr id="4" name="4 Cuadro de texto"/>
              <wp:cNvGraphicFramePr/>
              <a:graphic xmlns:a="http://schemas.openxmlformats.org/drawingml/2006/main">
                <a:graphicData uri="http://schemas.microsoft.com/office/word/2010/wordprocessingShape">
                  <wps:wsp>
                    <wps:cNvSpPr txBox="1"/>
                    <wps:spPr>
                      <a:xfrm>
                        <a:off x="0" y="0"/>
                        <a:ext cx="1771015" cy="340360"/>
                      </a:xfrm>
                      <a:prstGeom prst="rect">
                        <a:avLst/>
                      </a:prstGeom>
                      <a:solidFill>
                        <a:sysClr val="window" lastClr="FFFFFF"/>
                      </a:solidFill>
                      <a:ln w="6350">
                        <a:noFill/>
                      </a:ln>
                      <a:effectLst/>
                    </wps:spPr>
                    <wps:txbx>
                      <w:txbxContent>
                        <w:p w:rsidR="00090E82" w:rsidRPr="009406C9" w:rsidRDefault="00090E82" w:rsidP="00E74CE7">
                          <w:pPr>
                            <w:jc w:val="center"/>
                            <w:rPr>
                              <w:rFonts w:ascii="MS UI Gothic" w:eastAsia="MS UI Gothic" w:hAnsi="MS UI Gothic"/>
                              <w:sz w:val="14"/>
                              <w:szCs w:val="14"/>
                            </w:rPr>
                          </w:pPr>
                          <w:r w:rsidRPr="009406C9">
                            <w:rPr>
                              <w:rFonts w:ascii="MS UI Gothic" w:eastAsia="MS UI Gothic" w:hAnsi="MS UI Gothic"/>
                              <w:sz w:val="14"/>
                              <w:szCs w:val="14"/>
                            </w:rPr>
                            <w:t xml:space="preserve">Dirección General de Cartera </w:t>
                          </w:r>
                          <w:r>
                            <w:rPr>
                              <w:rFonts w:ascii="MS UI Gothic" w:eastAsia="MS UI Gothic" w:hAnsi="MS UI Gothic"/>
                              <w:sz w:val="14"/>
                              <w:szCs w:val="14"/>
                            </w:rPr>
                            <w:t>Común</w:t>
                          </w:r>
                          <w:r w:rsidRPr="009406C9">
                            <w:rPr>
                              <w:rFonts w:ascii="MS UI Gothic" w:eastAsia="MS UI Gothic" w:hAnsi="MS UI Gothic"/>
                              <w:sz w:val="14"/>
                              <w:szCs w:val="14"/>
                            </w:rPr>
                            <w:t xml:space="preserve"> de Servicios del SNS y Farmacia</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F6075" id="4 Cuadro de texto" o:spid="_x0000_s1028" type="#_x0000_t202" style="position:absolute;margin-left:351.25pt;margin-top:27.75pt;width:139.45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iGVQIAAKYEAAAOAAAAZHJzL2Uyb0RvYy54bWysVN9v2jAQfp+0/8Hy+0igLZ1QQ8WomCZV&#10;bSU69dk4DkRyfJ5tSNhfv88OaVm3p2k8mDvf+X58311ubrtGs4NyviZT8PEo50wZSWVttgX//rz6&#10;9JkzH4QphSajCn5Unt/OP364ae1MTWhHulSOIYjxs9YWfBeCnWWZlzvVCD8iqwyMFblGBKhum5VO&#10;tIje6GyS59OsJVdaR1J5j9u73sjnKX5VKRkeq8qrwHTBUVtIp0vnJp7Z/EbMtk7YXS1PZYh/qKIR&#10;tUHS11B3Igi2d/UfoZpaOvJUhZGkJqOqqqVKPaCbcf6um/VOWJV6ATjevsLk/19Y+XB4cqwuC37J&#10;mRENKLpky70oHbFSsaC6QBGk1voZfNcW3qH7Qh3IHu49LmPvXeWa+I+uGOyA+/gKMeIwGR9dX4/z&#10;8RVnEraLy/ximjjI3l5b58NXRQ2LQsEdKEzIisO9D6gEroNLTOZJ1+Wq1jopR7/Ujh0E2MaQlNRy&#10;poUPuCz4Kv1i0Qjx2zNtWFvw6cVVnjIZivF6P21iXJUm6ZQ/QtG3HKXQbbqE32SAY0PlESg56ofN&#10;W7mq0co96ngSDtMFYLAx4RFHpQmZ6SRxtiP382/30R+kw8pZi2ktuP+xF06hvW8G4wAY8zje54o7&#10;Vzbnitk3SwJEY+ymlUnEYxf0IFaOmhcs1iJmhUkYidwFD4O4DP0OYTGlWiySEwbainBv1lbG0BG3&#10;SNRz9yKcPbEZ5+mBhrkWs3ek9r7xpaHFPlBVJ8Yjzj2q4C4qWIbE4mlx47ad68nr7fMy/wUAAP//&#10;AwBQSwMEFAAGAAgAAAAhAOWwwH3hAAAACgEAAA8AAABkcnMvZG93bnJldi54bWxMj8FOwzAMhu9I&#10;vENkJG4s6aBjLU0nBGLigEBsaOesMW1F41RN1nU8PeYEJ8vyp9/fX6wm14kRh9B60pDMFAikytuW&#10;ag0f26erJYgQDVnTeUINJwywKs/PCpNbf6R3HDexFhxCITcamhj7XMpQNehMmPkeiW+ffnAm8jrU&#10;0g7myOGuk3OlFtKZlvhDY3p8aLD62hychpd4Hd8W6vS87nbb7HW3frRj8q315cV0fwci4hT/YPjV&#10;Z3Uo2WnvD2SD6DTcqnnKqIY05clAtkxuQOyZVFkCsizk/wrlDwAAAP//AwBQSwECLQAUAAYACAAA&#10;ACEAtoM4kv4AAADhAQAAEwAAAAAAAAAAAAAAAAAAAAAAW0NvbnRlbnRfVHlwZXNdLnhtbFBLAQIt&#10;ABQABgAIAAAAIQA4/SH/1gAAAJQBAAALAAAAAAAAAAAAAAAAAC8BAABfcmVscy8ucmVsc1BLAQIt&#10;ABQABgAIAAAAIQByB0iGVQIAAKYEAAAOAAAAAAAAAAAAAAAAAC4CAABkcnMvZTJvRG9jLnhtbFBL&#10;AQItABQABgAIAAAAIQDlsMB94QAAAAoBAAAPAAAAAAAAAAAAAAAAAK8EAABkcnMvZG93bnJldi54&#10;bWxQSwUGAAAAAAQABADzAAAAvQUAAAAA&#10;" fillcolor="window" stroked="f" strokeweight=".5pt">
              <v:textbox inset="1mm,1mm,1mm,1mm">
                <w:txbxContent>
                  <w:p w:rsidR="008B5BC5" w:rsidRPr="009406C9" w:rsidRDefault="008B5BC5" w:rsidP="00E74CE7">
                    <w:pPr>
                      <w:jc w:val="center"/>
                      <w:rPr>
                        <w:rFonts w:ascii="MS UI Gothic" w:eastAsia="MS UI Gothic" w:hAnsi="MS UI Gothic"/>
                        <w:sz w:val="14"/>
                        <w:szCs w:val="14"/>
                      </w:rPr>
                    </w:pPr>
                    <w:r w:rsidRPr="009406C9">
                      <w:rPr>
                        <w:rFonts w:ascii="MS UI Gothic" w:eastAsia="MS UI Gothic" w:hAnsi="MS UI Gothic"/>
                        <w:sz w:val="14"/>
                        <w:szCs w:val="14"/>
                      </w:rPr>
                      <w:t xml:space="preserve">Dirección General de Cartera </w:t>
                    </w:r>
                    <w:r>
                      <w:rPr>
                        <w:rFonts w:ascii="MS UI Gothic" w:eastAsia="MS UI Gothic" w:hAnsi="MS UI Gothic"/>
                        <w:sz w:val="14"/>
                        <w:szCs w:val="14"/>
                      </w:rPr>
                      <w:t>Común</w:t>
                    </w:r>
                    <w:r w:rsidRPr="009406C9">
                      <w:rPr>
                        <w:rFonts w:ascii="MS UI Gothic" w:eastAsia="MS UI Gothic" w:hAnsi="MS UI Gothic"/>
                        <w:sz w:val="14"/>
                        <w:szCs w:val="14"/>
                      </w:rPr>
                      <w:t xml:space="preserve"> de Servicios del SNS y Farmacia</w:t>
                    </w:r>
                  </w:p>
                </w:txbxContent>
              </v:textbox>
            </v:shape>
          </w:pict>
        </mc:Fallback>
      </mc:AlternateContent>
    </w:r>
    <w:r w:rsidRPr="001C48BD">
      <w:rPr>
        <w:rFonts w:ascii="Trebuchet MS" w:eastAsiaTheme="minorEastAsia" w:hAnsi="Trebuchet MS" w:cstheme="minorBidi"/>
        <w:noProof/>
        <w:sz w:val="24"/>
        <w:szCs w:val="24"/>
        <w:lang w:eastAsia="es-ES"/>
      </w:rPr>
      <mc:AlternateContent>
        <mc:Choice Requires="wps">
          <w:drawing>
            <wp:anchor distT="0" distB="0" distL="114300" distR="114300" simplePos="0" relativeHeight="251666432" behindDoc="0" locked="0" layoutInCell="1" allowOverlap="1" wp14:anchorId="458C92EB" wp14:editId="3CED27A6">
              <wp:simplePos x="0" y="0"/>
              <wp:positionH relativeFrom="column">
                <wp:posOffset>4460875</wp:posOffset>
              </wp:positionH>
              <wp:positionV relativeFrom="paragraph">
                <wp:posOffset>-35560</wp:posOffset>
              </wp:positionV>
              <wp:extent cx="1769745" cy="387350"/>
              <wp:effectExtent l="0" t="0" r="1905" b="0"/>
              <wp:wrapNone/>
              <wp:docPr id="1" name="1 Cuadro de texto"/>
              <wp:cNvGraphicFramePr/>
              <a:graphic xmlns:a="http://schemas.openxmlformats.org/drawingml/2006/main">
                <a:graphicData uri="http://schemas.microsoft.com/office/word/2010/wordprocessingShape">
                  <wps:wsp>
                    <wps:cNvSpPr txBox="1"/>
                    <wps:spPr>
                      <a:xfrm>
                        <a:off x="0" y="0"/>
                        <a:ext cx="1769745" cy="387350"/>
                      </a:xfrm>
                      <a:prstGeom prst="rect">
                        <a:avLst/>
                      </a:prstGeom>
                      <a:solidFill>
                        <a:sysClr val="window" lastClr="FFFFFF">
                          <a:lumMod val="85000"/>
                        </a:sysClr>
                      </a:solidFill>
                      <a:ln w="6350">
                        <a:noFill/>
                      </a:ln>
                      <a:effectLst/>
                    </wps:spPr>
                    <wps:txbx>
                      <w:txbxContent>
                        <w:p w:rsidR="00090E82" w:rsidRDefault="00090E82" w:rsidP="007A2869">
                          <w:pPr>
                            <w:jc w:val="center"/>
                            <w:rPr>
                              <w:rFonts w:ascii="MS UI Gothic" w:eastAsia="MS UI Gothic" w:hAnsi="MS UI Gothic"/>
                              <w:b/>
                              <w:sz w:val="16"/>
                              <w:szCs w:val="16"/>
                            </w:rPr>
                          </w:pPr>
                          <w:r w:rsidRPr="009406C9">
                            <w:rPr>
                              <w:rFonts w:ascii="MS UI Gothic" w:eastAsia="MS UI Gothic" w:hAnsi="MS UI Gothic"/>
                              <w:b/>
                              <w:sz w:val="16"/>
                              <w:szCs w:val="16"/>
                            </w:rPr>
                            <w:t xml:space="preserve">SECRETARÍA </w:t>
                          </w:r>
                          <w:r>
                            <w:rPr>
                              <w:rFonts w:ascii="MS UI Gothic" w:eastAsia="MS UI Gothic" w:hAnsi="MS UI Gothic"/>
                              <w:b/>
                              <w:sz w:val="16"/>
                              <w:szCs w:val="16"/>
                            </w:rPr>
                            <w:t>DE ESTADO</w:t>
                          </w:r>
                        </w:p>
                        <w:p w:rsidR="00090E82" w:rsidRPr="009406C9" w:rsidRDefault="00090E82" w:rsidP="007A2869">
                          <w:pPr>
                            <w:jc w:val="center"/>
                            <w:rPr>
                              <w:rFonts w:ascii="MS UI Gothic" w:eastAsia="MS UI Gothic" w:hAnsi="MS UI Gothic"/>
                              <w:b/>
                              <w:sz w:val="16"/>
                              <w:szCs w:val="16"/>
                            </w:rPr>
                          </w:pPr>
                          <w:r w:rsidRPr="009406C9">
                            <w:rPr>
                              <w:rFonts w:ascii="MS UI Gothic" w:eastAsia="MS UI Gothic" w:hAnsi="MS UI Gothic"/>
                              <w:b/>
                              <w:sz w:val="16"/>
                              <w:szCs w:val="16"/>
                            </w:rPr>
                            <w:t xml:space="preserve"> DE SANIDAD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C92EB" id="1 Cuadro de texto" o:spid="_x0000_s1029" type="#_x0000_t202" style="position:absolute;margin-left:351.25pt;margin-top:-2.8pt;width:139.3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x/aAIAAMcEAAAOAAAAZHJzL2Uyb0RvYy54bWysVEtvGjEQvlfqf7B8b3YhEAhiiSgRVaU0&#10;iZRUORuvF1ayPa5t2KW/vjNeNqFpT1U5GM/D8/jmm53ftEazg/KhBlvwwUXOmbISytpuC/79ef1p&#10;ylmIwpZCg1UFP6rAbxYfP8wbN1ND2IEulWcYxIZZ4wq+i9HNsizInTIiXIBTFo0VeCMiin6blV40&#10;GN3obJjnV1kDvnQepAoBtbedkS9S/KpSMj5UVVCR6YJjbTGdPp0bOrPFXMy2XrhdLU9liH+owoja&#10;YtLXULciCrb39R+hTC09BKjihQSTQVXVUqUesJtB/q6bp51wKvWC4AT3ClP4f2Hl/eHRs7rE2XFm&#10;hcERDdhqL0oPrFQsqjYCgdS4MEPfJ4fesf0MLT046QMqqfe28ob+sSuGdoT7+AoxxmGSHk2uriej&#10;MWcSbZfTyeU4zSB7e+18iF8UGEaXgnscYUJWHO5CxIzo2rtQsgC6Lte11kk4hpX27CBw2kiSEhrO&#10;tAgRlQVfp1+KpffmG5Sd33Sc530NIb1POX6Lqy1rCn5FxVIaC5Swq0Vb0qhEtVOBhFWHCd1iu2kT&#10;wJc9Xhsojwijh46Nwcl1jb3eYaGPwiP9EDlcqfiAR6UBM8PpxtkO/M+/6ckfWYFWzhqkc8HDj73w&#10;Cvv/apEv14PRiPifhNF4MkTBn1s25xa7NytADJETWF26kn/U/bXyYF5w85aUFU3CSsxd8E1/XcVu&#10;yXBzpVoukxMy3ol4Z5+cpNCEG03yuX0R3p3GTYS7h574YvZu6p1vN4PlPkJVJ0oQzh2qODsScFvS&#10;FE+bTet4Lievt+/P4hcAAAD//wMAUEsDBBQABgAIAAAAIQAe9vG/3wAAAAkBAAAPAAAAZHJzL2Rv&#10;d25yZXYueG1sTI/LTsMwEEX3SPyDNUjsWqcRLiWNUyGkCokdbdlP4mkS6keInSbh6zErWI7u0b1n&#10;8t1kNLtS71tnJayWCTCylVOtrSWcjvvFBpgPaBVqZ0nCTB52xe1Njplyo32n6yHULJZYn6GEJoQu&#10;49xXDRn0S9eRjdnZ9QZDPPuaqx7HWG40T5NkzQ22Ni402NFLQ9XlMBgJx1F8z64t54v++Hrt9vPb&#10;8HlCKe/vpuctsEBT+IPhVz+qQxGdSjdY5ZmW8JikIqISFmINLAJPm1UKrJQgxAPwIuf/Pyh+AAAA&#10;//8DAFBLAQItABQABgAIAAAAIQC2gziS/gAAAOEBAAATAAAAAAAAAAAAAAAAAAAAAABbQ29udGVu&#10;dF9UeXBlc10ueG1sUEsBAi0AFAAGAAgAAAAhADj9If/WAAAAlAEAAAsAAAAAAAAAAAAAAAAALwEA&#10;AF9yZWxzLy5yZWxzUEsBAi0AFAAGAAgAAAAhADxyzH9oAgAAxwQAAA4AAAAAAAAAAAAAAAAALgIA&#10;AGRycy9lMm9Eb2MueG1sUEsBAi0AFAAGAAgAAAAhAB728b/fAAAACQEAAA8AAAAAAAAAAAAAAAAA&#10;wgQAAGRycy9kb3ducmV2LnhtbFBLBQYAAAAABAAEAPMAAADOBQAAAAA=&#10;" fillcolor="#d9d9d9" stroked="f" strokeweight=".5pt">
              <v:textbox>
                <w:txbxContent>
                  <w:p w:rsidR="008B5BC5" w:rsidRDefault="008B5BC5" w:rsidP="007A2869">
                    <w:pPr>
                      <w:jc w:val="center"/>
                      <w:rPr>
                        <w:rFonts w:ascii="MS UI Gothic" w:eastAsia="MS UI Gothic" w:hAnsi="MS UI Gothic"/>
                        <w:b/>
                        <w:sz w:val="16"/>
                        <w:szCs w:val="16"/>
                      </w:rPr>
                    </w:pPr>
                    <w:r w:rsidRPr="009406C9">
                      <w:rPr>
                        <w:rFonts w:ascii="MS UI Gothic" w:eastAsia="MS UI Gothic" w:hAnsi="MS UI Gothic"/>
                        <w:b/>
                        <w:sz w:val="16"/>
                        <w:szCs w:val="16"/>
                      </w:rPr>
                      <w:t xml:space="preserve">SECRETARÍA </w:t>
                    </w:r>
                    <w:r>
                      <w:rPr>
                        <w:rFonts w:ascii="MS UI Gothic" w:eastAsia="MS UI Gothic" w:hAnsi="MS UI Gothic"/>
                        <w:b/>
                        <w:sz w:val="16"/>
                        <w:szCs w:val="16"/>
                      </w:rPr>
                      <w:t>DE ESTADO</w:t>
                    </w:r>
                  </w:p>
                  <w:p w:rsidR="008B5BC5" w:rsidRPr="009406C9" w:rsidRDefault="008B5BC5" w:rsidP="007A2869">
                    <w:pPr>
                      <w:jc w:val="center"/>
                      <w:rPr>
                        <w:rFonts w:ascii="MS UI Gothic" w:eastAsia="MS UI Gothic" w:hAnsi="MS UI Gothic"/>
                        <w:b/>
                        <w:sz w:val="16"/>
                        <w:szCs w:val="16"/>
                      </w:rPr>
                    </w:pPr>
                    <w:r w:rsidRPr="009406C9">
                      <w:rPr>
                        <w:rFonts w:ascii="MS UI Gothic" w:eastAsia="MS UI Gothic" w:hAnsi="MS UI Gothic"/>
                        <w:b/>
                        <w:sz w:val="16"/>
                        <w:szCs w:val="16"/>
                      </w:rPr>
                      <w:t xml:space="preserve"> DE SANIDAD </w:t>
                    </w:r>
                  </w:p>
                </w:txbxContent>
              </v:textbox>
            </v:shape>
          </w:pict>
        </mc:Fallback>
      </mc:AlternateContent>
    </w:r>
    <w:r w:rsidRPr="001C48BD">
      <w:rPr>
        <w:rFonts w:ascii="Trebuchet MS" w:eastAsiaTheme="minorEastAsia" w:hAnsi="Trebuchet MS" w:cstheme="minorBidi"/>
        <w:noProof/>
        <w:sz w:val="24"/>
        <w:szCs w:val="24"/>
        <w:lang w:eastAsia="es-ES"/>
      </w:rPr>
      <mc:AlternateContent>
        <mc:Choice Requires="wps">
          <w:drawing>
            <wp:anchor distT="0" distB="0" distL="114300" distR="114300" simplePos="0" relativeHeight="251664384" behindDoc="0" locked="0" layoutInCell="1" allowOverlap="1" wp14:anchorId="7116E2D1" wp14:editId="16087220">
              <wp:simplePos x="0" y="0"/>
              <wp:positionH relativeFrom="column">
                <wp:posOffset>186690</wp:posOffset>
              </wp:positionH>
              <wp:positionV relativeFrom="paragraph">
                <wp:posOffset>227965</wp:posOffset>
              </wp:positionV>
              <wp:extent cx="2051050" cy="465455"/>
              <wp:effectExtent l="0" t="0" r="6350" b="0"/>
              <wp:wrapNone/>
              <wp:docPr id="3" name="3 Cuadro de texto"/>
              <wp:cNvGraphicFramePr/>
              <a:graphic xmlns:a="http://schemas.openxmlformats.org/drawingml/2006/main">
                <a:graphicData uri="http://schemas.microsoft.com/office/word/2010/wordprocessingShape">
                  <wps:wsp>
                    <wps:cNvSpPr txBox="1"/>
                    <wps:spPr>
                      <a:xfrm>
                        <a:off x="0" y="0"/>
                        <a:ext cx="2051050" cy="465455"/>
                      </a:xfrm>
                      <a:prstGeom prst="rect">
                        <a:avLst/>
                      </a:prstGeom>
                      <a:solidFill>
                        <a:sysClr val="window" lastClr="FFFFFF"/>
                      </a:solidFill>
                      <a:ln w="6350">
                        <a:noFill/>
                      </a:ln>
                      <a:effectLst/>
                    </wps:spPr>
                    <wps:txbx>
                      <w:txbxContent>
                        <w:p w:rsidR="00090E82" w:rsidRPr="009406C9" w:rsidRDefault="00090E82" w:rsidP="004B400D">
                          <w:pPr>
                            <w:tabs>
                              <w:tab w:val="left" w:pos="1021"/>
                              <w:tab w:val="left" w:pos="8080"/>
                            </w:tabs>
                            <w:suppressOverlap/>
                            <w:rPr>
                              <w:rFonts w:ascii="MS UI Gothic" w:eastAsia="MS UI Gothic" w:hAnsi="MS UI Gothic"/>
                              <w:b/>
                              <w:snapToGrid w:val="0"/>
                              <w:color w:val="000000"/>
                              <w:sz w:val="16"/>
                              <w:szCs w:val="16"/>
                              <w:lang w:eastAsia="es-ES"/>
                            </w:rPr>
                          </w:pPr>
                          <w:r>
                            <w:rPr>
                              <w:rFonts w:ascii="MS UI Gothic" w:eastAsia="MS UI Gothic" w:hAnsi="MS UI Gothic"/>
                              <w:b/>
                              <w:snapToGrid w:val="0"/>
                              <w:color w:val="000000"/>
                              <w:sz w:val="16"/>
                              <w:szCs w:val="16"/>
                              <w:lang w:eastAsia="es-ES"/>
                            </w:rPr>
                            <w:t>MINISTERIO DE SANIDAD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6E2D1" id="3 Cuadro de texto" o:spid="_x0000_s1030" type="#_x0000_t202" style="position:absolute;margin-left:14.7pt;margin-top:17.95pt;width:161.5pt;height:3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VVgIAAKYEAAAOAAAAZHJzL2Uyb0RvYy54bWysVMtu2zAQvBfoPxC8N/K7rRE5cB24KGAk&#10;AZwiZ5qibAEUlyVpS+7Xd0jJSZr2VFQHal/a5c7O6vqmrTU7KecrMjkfXg04U0ZSUZl9zr8/rj98&#10;4swHYQqhyaicn5XnN4v3764bO1cjOpAulGNIYvy8sTk/hGDnWeblQdXCX5FVBs6SXC0CVLfPCica&#10;ZK91NhoMZllDrrCOpPIe1tvOyRcpf1kqGe7L0qvAdM5xt5BOl85dPLPFtZjvnbCHSvbXEP9wi1pU&#10;BkWfU92KINjRVX+kqivpyFMZriTVGZVlJVXqAd0MB2+62R6EVakXgOPtM0z+/6WVd6cHx6oi52PO&#10;jKgxojFbHUXhiBWKBdUGiiA11s8Ru7WIDu0XajHsi93DGHtvS1fHN7pi8APu8zPEyMMkjKPBdDiY&#10;wiXhm8ymk+k0pslevrbOh6+KahaFnDuMMCErThsfutBLSCzmSVfFutI6KWe/0o6dBKYNkhTUcKaF&#10;DzDmfJ2evtpvn2nDmpzPxrhXzGIo5utKaRMtKjGprx+h6FqOUmh3bcJvcoFjR8UZKDnqyOatXFdo&#10;ZYN7PAgHdqF7bEy4x1FqQmXqJc4O5H7+zR7jMXR4OWvA1pz7H0fhFNr7ZkCHz8PJJNI7KZPpxxEU&#10;99qze+0xx3pFgGiI3bQyiTE+6ItYOqqfsFjLWBUuYSRq5zxcxFXodgiLKdVymYJAaCvCxmytjKkj&#10;bnFQj+2TcLafZuTTHV14LeZvhtrFdjNYHgOVVZp4xLlDFUyJCpYhcaZf3Lhtr/UU9fJ7WfwCAAD/&#10;/wMAUEsDBBQABgAIAAAAIQCtxscS4QAAAAkBAAAPAAAAZHJzL2Rvd25yZXYueG1sTI/BTsMwDIbv&#10;SLxDZCRuLKVjaC1NJ4RAMIlqrCBxzVrTFhqnSrK17OkxJzja/6ffn7PVZHpxQOc7SwouZxEIpMrW&#10;HTUK3l4fLpYgfNBU694SKvhGD6v89CTTaW1H2uKhDI3gEvKpVtCGMKRS+qpFo/3MDkicfVhndODR&#10;NbJ2euRy08s4iq6l0R3xhVYPeNdi9VXujYL3sXx0m/X682V4Ko6bY1k8432h1PnZdHsDIuAU/mD4&#10;1Wd1yNlpZ/dUe9EriJMrJhXMFwkIzueLmBc7BqMkBpln8v8H+Q8AAAD//wMAUEsBAi0AFAAGAAgA&#10;AAAhALaDOJL+AAAA4QEAABMAAAAAAAAAAAAAAAAAAAAAAFtDb250ZW50X1R5cGVzXS54bWxQSwEC&#10;LQAUAAYACAAAACEAOP0h/9YAAACUAQAACwAAAAAAAAAAAAAAAAAvAQAAX3JlbHMvLnJlbHNQSwEC&#10;LQAUAAYACAAAACEAK4CP1VYCAACmBAAADgAAAAAAAAAAAAAAAAAuAgAAZHJzL2Uyb0RvYy54bWxQ&#10;SwECLQAUAAYACAAAACEArcbHEuEAAAAJAQAADwAAAAAAAAAAAAAAAACwBAAAZHJzL2Rvd25yZXYu&#10;eG1sUEsFBgAAAAAEAAQA8wAAAL4FAAAAAA==&#10;" fillcolor="window" stroked="f" strokeweight=".5pt">
              <v:textbox>
                <w:txbxContent>
                  <w:p w:rsidR="008B5BC5" w:rsidRPr="009406C9" w:rsidRDefault="008B5BC5" w:rsidP="004B400D">
                    <w:pPr>
                      <w:tabs>
                        <w:tab w:val="left" w:pos="1021"/>
                        <w:tab w:val="left" w:pos="8080"/>
                      </w:tabs>
                      <w:suppressOverlap/>
                      <w:rPr>
                        <w:rFonts w:ascii="MS UI Gothic" w:eastAsia="MS UI Gothic" w:hAnsi="MS UI Gothic"/>
                        <w:b/>
                        <w:snapToGrid w:val="0"/>
                        <w:color w:val="000000"/>
                        <w:sz w:val="16"/>
                        <w:szCs w:val="16"/>
                        <w:lang w:eastAsia="es-ES"/>
                      </w:rPr>
                    </w:pPr>
                    <w:r>
                      <w:rPr>
                        <w:rFonts w:ascii="MS UI Gothic" w:eastAsia="MS UI Gothic" w:hAnsi="MS UI Gothic"/>
                        <w:b/>
                        <w:snapToGrid w:val="0"/>
                        <w:color w:val="000000"/>
                        <w:sz w:val="16"/>
                        <w:szCs w:val="16"/>
                        <w:lang w:eastAsia="es-ES"/>
                      </w:rPr>
                      <w:t>MINISTERIO DE SANIDAD</w:t>
                    </w:r>
                  </w:p>
                </w:txbxContent>
              </v:textbox>
            </v:shape>
          </w:pict>
        </mc:Fallback>
      </mc:AlternateContent>
    </w:r>
    <w:r w:rsidRPr="001C48BD">
      <w:rPr>
        <w:rFonts w:ascii="Trebuchet MS" w:eastAsiaTheme="minorEastAsia" w:hAnsi="Trebuchet MS" w:cstheme="minorBidi"/>
        <w:noProof/>
        <w:sz w:val="24"/>
        <w:szCs w:val="24"/>
        <w:lang w:eastAsia="es-ES"/>
      </w:rPr>
      <w:drawing>
        <wp:anchor distT="0" distB="0" distL="114300" distR="114300" simplePos="0" relativeHeight="251660288" behindDoc="0" locked="0" layoutInCell="1" allowOverlap="1" wp14:anchorId="5D0EF563" wp14:editId="21E8C6E9">
          <wp:simplePos x="0" y="0"/>
          <wp:positionH relativeFrom="column">
            <wp:posOffset>-466090</wp:posOffset>
          </wp:positionH>
          <wp:positionV relativeFrom="paragraph">
            <wp:posOffset>31115</wp:posOffset>
          </wp:positionV>
          <wp:extent cx="702945" cy="739775"/>
          <wp:effectExtent l="0" t="0" r="1905" b="317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7FD"/>
    <w:multiLevelType w:val="hybridMultilevel"/>
    <w:tmpl w:val="74821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934252"/>
    <w:multiLevelType w:val="hybridMultilevel"/>
    <w:tmpl w:val="505E9CD0"/>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11117398"/>
    <w:multiLevelType w:val="multilevel"/>
    <w:tmpl w:val="832A5790"/>
    <w:lvl w:ilvl="0">
      <w:start w:val="1"/>
      <w:numFmt w:val="bullet"/>
      <w:lvlText w:val=""/>
      <w:lvlJc w:val="left"/>
      <w:pPr>
        <w:ind w:left="360" w:hanging="360"/>
      </w:pPr>
      <w:rPr>
        <w:rFonts w:ascii="Symbol" w:hAnsi="Symbol" w:hint="default"/>
      </w:rPr>
    </w:lvl>
    <w:lvl w:ilvl="1">
      <w:start w:val="1"/>
      <w:numFmt w:val="decimal"/>
      <w:lvlText w:val="%2.1."/>
      <w:lvlJc w:val="left"/>
      <w:pPr>
        <w:ind w:left="858"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57175F"/>
    <w:multiLevelType w:val="hybridMultilevel"/>
    <w:tmpl w:val="9CAC1BF4"/>
    <w:lvl w:ilvl="0" w:tplc="0C0A0001">
      <w:start w:val="1"/>
      <w:numFmt w:val="bullet"/>
      <w:lvlText w:val=""/>
      <w:lvlJc w:val="left"/>
      <w:pPr>
        <w:ind w:left="1069" w:hanging="360"/>
      </w:pPr>
      <w:rPr>
        <w:rFonts w:ascii="Symbol" w:hAnsi="Symbol" w:hint="default"/>
      </w:rPr>
    </w:lvl>
    <w:lvl w:ilvl="1" w:tplc="0C0A0005">
      <w:start w:val="1"/>
      <w:numFmt w:val="bullet"/>
      <w:lvlText w:val=""/>
      <w:lvlJc w:val="left"/>
      <w:pPr>
        <w:ind w:left="1789" w:hanging="360"/>
      </w:pPr>
      <w:rPr>
        <w:rFonts w:ascii="Wingdings" w:hAnsi="Wingdings"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17D035E0"/>
    <w:multiLevelType w:val="hybridMultilevel"/>
    <w:tmpl w:val="1BC84D80"/>
    <w:lvl w:ilvl="0" w:tplc="73087436">
      <w:numFmt w:val="bullet"/>
      <w:lvlText w:val="-"/>
      <w:lvlJc w:val="left"/>
      <w:pPr>
        <w:ind w:left="1818" w:hanging="360"/>
      </w:pPr>
      <w:rPr>
        <w:rFonts w:ascii="Calibri" w:eastAsiaTheme="minorHAnsi" w:hAnsi="Calibri" w:cs="Calibri" w:hint="default"/>
      </w:rPr>
    </w:lvl>
    <w:lvl w:ilvl="1" w:tplc="0C0A0003" w:tentative="1">
      <w:start w:val="1"/>
      <w:numFmt w:val="bullet"/>
      <w:lvlText w:val="o"/>
      <w:lvlJc w:val="left"/>
      <w:pPr>
        <w:ind w:left="2538" w:hanging="360"/>
      </w:pPr>
      <w:rPr>
        <w:rFonts w:ascii="Courier New" w:hAnsi="Courier New" w:cs="Courier New" w:hint="default"/>
      </w:rPr>
    </w:lvl>
    <w:lvl w:ilvl="2" w:tplc="0C0A0005" w:tentative="1">
      <w:start w:val="1"/>
      <w:numFmt w:val="bullet"/>
      <w:lvlText w:val=""/>
      <w:lvlJc w:val="left"/>
      <w:pPr>
        <w:ind w:left="3258" w:hanging="360"/>
      </w:pPr>
      <w:rPr>
        <w:rFonts w:ascii="Wingdings" w:hAnsi="Wingdings" w:hint="default"/>
      </w:rPr>
    </w:lvl>
    <w:lvl w:ilvl="3" w:tplc="0C0A0001" w:tentative="1">
      <w:start w:val="1"/>
      <w:numFmt w:val="bullet"/>
      <w:lvlText w:val=""/>
      <w:lvlJc w:val="left"/>
      <w:pPr>
        <w:ind w:left="3978" w:hanging="360"/>
      </w:pPr>
      <w:rPr>
        <w:rFonts w:ascii="Symbol" w:hAnsi="Symbol" w:hint="default"/>
      </w:rPr>
    </w:lvl>
    <w:lvl w:ilvl="4" w:tplc="0C0A0003" w:tentative="1">
      <w:start w:val="1"/>
      <w:numFmt w:val="bullet"/>
      <w:lvlText w:val="o"/>
      <w:lvlJc w:val="left"/>
      <w:pPr>
        <w:ind w:left="4698" w:hanging="360"/>
      </w:pPr>
      <w:rPr>
        <w:rFonts w:ascii="Courier New" w:hAnsi="Courier New" w:cs="Courier New" w:hint="default"/>
      </w:rPr>
    </w:lvl>
    <w:lvl w:ilvl="5" w:tplc="0C0A0005" w:tentative="1">
      <w:start w:val="1"/>
      <w:numFmt w:val="bullet"/>
      <w:lvlText w:val=""/>
      <w:lvlJc w:val="left"/>
      <w:pPr>
        <w:ind w:left="5418" w:hanging="360"/>
      </w:pPr>
      <w:rPr>
        <w:rFonts w:ascii="Wingdings" w:hAnsi="Wingdings" w:hint="default"/>
      </w:rPr>
    </w:lvl>
    <w:lvl w:ilvl="6" w:tplc="0C0A0001" w:tentative="1">
      <w:start w:val="1"/>
      <w:numFmt w:val="bullet"/>
      <w:lvlText w:val=""/>
      <w:lvlJc w:val="left"/>
      <w:pPr>
        <w:ind w:left="6138" w:hanging="360"/>
      </w:pPr>
      <w:rPr>
        <w:rFonts w:ascii="Symbol" w:hAnsi="Symbol" w:hint="default"/>
      </w:rPr>
    </w:lvl>
    <w:lvl w:ilvl="7" w:tplc="0C0A0003" w:tentative="1">
      <w:start w:val="1"/>
      <w:numFmt w:val="bullet"/>
      <w:lvlText w:val="o"/>
      <w:lvlJc w:val="left"/>
      <w:pPr>
        <w:ind w:left="6858" w:hanging="360"/>
      </w:pPr>
      <w:rPr>
        <w:rFonts w:ascii="Courier New" w:hAnsi="Courier New" w:cs="Courier New" w:hint="default"/>
      </w:rPr>
    </w:lvl>
    <w:lvl w:ilvl="8" w:tplc="0C0A0005" w:tentative="1">
      <w:start w:val="1"/>
      <w:numFmt w:val="bullet"/>
      <w:lvlText w:val=""/>
      <w:lvlJc w:val="left"/>
      <w:pPr>
        <w:ind w:left="7578" w:hanging="360"/>
      </w:pPr>
      <w:rPr>
        <w:rFonts w:ascii="Wingdings" w:hAnsi="Wingdings" w:hint="default"/>
      </w:rPr>
    </w:lvl>
  </w:abstractNum>
  <w:abstractNum w:abstractNumId="5" w15:restartNumberingAfterBreak="0">
    <w:nsid w:val="24A33399"/>
    <w:multiLevelType w:val="hybridMultilevel"/>
    <w:tmpl w:val="2CCA8F70"/>
    <w:lvl w:ilvl="0" w:tplc="0C0A0001">
      <w:start w:val="1"/>
      <w:numFmt w:val="bullet"/>
      <w:lvlText w:val=""/>
      <w:lvlJc w:val="left"/>
      <w:pPr>
        <w:ind w:left="1068" w:hanging="360"/>
      </w:pPr>
      <w:rPr>
        <w:rFonts w:ascii="Symbol" w:hAnsi="Symbol" w:hint="default"/>
      </w:rPr>
    </w:lvl>
    <w:lvl w:ilvl="1" w:tplc="0C0A0005">
      <w:start w:val="1"/>
      <w:numFmt w:val="bullet"/>
      <w:lvlText w:val=""/>
      <w:lvlJc w:val="left"/>
      <w:pPr>
        <w:ind w:left="1788" w:hanging="360"/>
      </w:pPr>
      <w:rPr>
        <w:rFonts w:ascii="Wingdings" w:hAnsi="Wingdings" w:hint="default"/>
      </w:rPr>
    </w:lvl>
    <w:lvl w:ilvl="2" w:tplc="0C0A0001">
      <w:start w:val="1"/>
      <w:numFmt w:val="bullet"/>
      <w:lvlText w:val=""/>
      <w:lvlJc w:val="left"/>
      <w:pPr>
        <w:ind w:left="2508" w:hanging="360"/>
      </w:pPr>
      <w:rPr>
        <w:rFonts w:ascii="Symbol" w:hAnsi="Symbol"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5833E91"/>
    <w:multiLevelType w:val="multilevel"/>
    <w:tmpl w:val="D610B830"/>
    <w:lvl w:ilvl="0">
      <w:start w:val="1"/>
      <w:numFmt w:val="bullet"/>
      <w:lvlText w:val=""/>
      <w:lvlJc w:val="left"/>
      <w:pPr>
        <w:ind w:left="1458" w:hanging="375"/>
      </w:pPr>
      <w:rPr>
        <w:rFonts w:ascii="Symbol" w:hAnsi="Symbol" w:hint="default"/>
        <w:b/>
        <w:color w:val="auto"/>
      </w:rPr>
    </w:lvl>
    <w:lvl w:ilvl="1">
      <w:start w:val="1"/>
      <w:numFmt w:val="bullet"/>
      <w:lvlText w:val=""/>
      <w:lvlJc w:val="left"/>
      <w:pPr>
        <w:ind w:left="2371" w:hanging="720"/>
      </w:pPr>
      <w:rPr>
        <w:rFonts w:ascii="Symbol" w:hAnsi="Symbol" w:hint="default"/>
        <w:b/>
      </w:rPr>
    </w:lvl>
    <w:lvl w:ilvl="2">
      <w:start w:val="1"/>
      <w:numFmt w:val="decimal"/>
      <w:lvlText w:val="3.%2-%3."/>
      <w:lvlJc w:val="left"/>
      <w:pPr>
        <w:ind w:left="2087" w:hanging="720"/>
      </w:pPr>
      <w:rPr>
        <w:rFonts w:hint="default"/>
        <w:b/>
      </w:rPr>
    </w:lvl>
    <w:lvl w:ilvl="3">
      <w:start w:val="1"/>
      <w:numFmt w:val="decimal"/>
      <w:lvlText w:val="3.%2-%3.%4."/>
      <w:lvlJc w:val="left"/>
      <w:pPr>
        <w:ind w:left="3439" w:hanging="1080"/>
      </w:pPr>
      <w:rPr>
        <w:rFonts w:hint="default"/>
        <w:b/>
      </w:rPr>
    </w:lvl>
    <w:lvl w:ilvl="4">
      <w:start w:val="1"/>
      <w:numFmt w:val="decimal"/>
      <w:lvlText w:val="%1.%2-%3.%4.%5."/>
      <w:lvlJc w:val="left"/>
      <w:pPr>
        <w:ind w:left="3867" w:hanging="1080"/>
      </w:pPr>
      <w:rPr>
        <w:rFonts w:hint="default"/>
        <w:b/>
      </w:rPr>
    </w:lvl>
    <w:lvl w:ilvl="5">
      <w:start w:val="1"/>
      <w:numFmt w:val="decimal"/>
      <w:lvlText w:val="%1.%2-%3.%4.%5.%6."/>
      <w:lvlJc w:val="left"/>
      <w:pPr>
        <w:ind w:left="4653" w:hanging="1440"/>
      </w:pPr>
      <w:rPr>
        <w:rFonts w:hint="default"/>
        <w:b/>
      </w:rPr>
    </w:lvl>
    <w:lvl w:ilvl="6">
      <w:start w:val="1"/>
      <w:numFmt w:val="decimal"/>
      <w:lvlText w:val="%1.%2-%3.%4.%5.%6.%7."/>
      <w:lvlJc w:val="left"/>
      <w:pPr>
        <w:ind w:left="5079" w:hanging="1440"/>
      </w:pPr>
      <w:rPr>
        <w:rFonts w:hint="default"/>
        <w:b/>
      </w:rPr>
    </w:lvl>
    <w:lvl w:ilvl="7">
      <w:start w:val="1"/>
      <w:numFmt w:val="decimal"/>
      <w:lvlText w:val="%1.%2-%3.%4.%5.%6.%7.%8."/>
      <w:lvlJc w:val="left"/>
      <w:pPr>
        <w:ind w:left="5865" w:hanging="1800"/>
      </w:pPr>
      <w:rPr>
        <w:rFonts w:hint="default"/>
        <w:b/>
      </w:rPr>
    </w:lvl>
    <w:lvl w:ilvl="8">
      <w:start w:val="1"/>
      <w:numFmt w:val="decimal"/>
      <w:lvlText w:val="%1.%2-%3.%4.%5.%6.%7.%8.%9."/>
      <w:lvlJc w:val="left"/>
      <w:pPr>
        <w:ind w:left="6291" w:hanging="1800"/>
      </w:pPr>
      <w:rPr>
        <w:rFonts w:hint="default"/>
        <w:b/>
      </w:rPr>
    </w:lvl>
  </w:abstractNum>
  <w:abstractNum w:abstractNumId="7" w15:restartNumberingAfterBreak="0">
    <w:nsid w:val="25F25CBC"/>
    <w:multiLevelType w:val="hybridMultilevel"/>
    <w:tmpl w:val="6428C506"/>
    <w:lvl w:ilvl="0" w:tplc="0C0A0005">
      <w:start w:val="1"/>
      <w:numFmt w:val="bullet"/>
      <w:lvlText w:val=""/>
      <w:lvlJc w:val="left"/>
      <w:pPr>
        <w:ind w:left="1068" w:hanging="360"/>
      </w:pPr>
      <w:rPr>
        <w:rFonts w:ascii="Wingdings" w:hAnsi="Wingdings" w:hint="default"/>
      </w:rPr>
    </w:lvl>
    <w:lvl w:ilvl="1" w:tplc="0C0A0001">
      <w:start w:val="1"/>
      <w:numFmt w:val="bullet"/>
      <w:lvlText w:val=""/>
      <w:lvlJc w:val="left"/>
      <w:pPr>
        <w:ind w:left="1788" w:hanging="360"/>
      </w:pPr>
      <w:rPr>
        <w:rFonts w:ascii="Symbol" w:hAnsi="Symbol" w:hint="default"/>
      </w:rPr>
    </w:lvl>
    <w:lvl w:ilvl="2" w:tplc="0C0A0001">
      <w:start w:val="1"/>
      <w:numFmt w:val="bullet"/>
      <w:lvlText w:val=""/>
      <w:lvlJc w:val="left"/>
      <w:pPr>
        <w:ind w:left="2508" w:hanging="360"/>
      </w:pPr>
      <w:rPr>
        <w:rFonts w:ascii="Symbol" w:hAnsi="Symbol"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F62043E"/>
    <w:multiLevelType w:val="hybridMultilevel"/>
    <w:tmpl w:val="CC323EDC"/>
    <w:lvl w:ilvl="0" w:tplc="0C0A0005">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31944A5B"/>
    <w:multiLevelType w:val="hybridMultilevel"/>
    <w:tmpl w:val="C4B4C010"/>
    <w:lvl w:ilvl="0" w:tplc="0C0A0001">
      <w:start w:val="1"/>
      <w:numFmt w:val="bullet"/>
      <w:lvlText w:val=""/>
      <w:lvlJc w:val="left"/>
      <w:pPr>
        <w:ind w:left="1776" w:hanging="360"/>
      </w:pPr>
      <w:rPr>
        <w:rFonts w:ascii="Symbol" w:hAnsi="Symbol" w:hint="default"/>
      </w:rPr>
    </w:lvl>
    <w:lvl w:ilvl="1" w:tplc="0C0A0001">
      <w:start w:val="1"/>
      <w:numFmt w:val="bullet"/>
      <w:lvlText w:val=""/>
      <w:lvlJc w:val="left"/>
      <w:pPr>
        <w:ind w:left="2496" w:hanging="360"/>
      </w:pPr>
      <w:rPr>
        <w:rFonts w:ascii="Symbol" w:hAnsi="Symbol"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15:restartNumberingAfterBreak="0">
    <w:nsid w:val="32551824"/>
    <w:multiLevelType w:val="multilevel"/>
    <w:tmpl w:val="0C0A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32F64DBA"/>
    <w:multiLevelType w:val="hybridMultilevel"/>
    <w:tmpl w:val="D4EE314E"/>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15:restartNumberingAfterBreak="0">
    <w:nsid w:val="37283D7F"/>
    <w:multiLevelType w:val="multilevel"/>
    <w:tmpl w:val="CC6A9B12"/>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1834E1"/>
    <w:multiLevelType w:val="hybridMultilevel"/>
    <w:tmpl w:val="52EEF22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70" w:hanging="360"/>
      </w:pPr>
      <w:rPr>
        <w:rFonts w:ascii="Courier New" w:hAnsi="Courier New" w:cs="Courier New" w:hint="default"/>
      </w:rPr>
    </w:lvl>
    <w:lvl w:ilvl="2" w:tplc="0C0A0003">
      <w:start w:val="1"/>
      <w:numFmt w:val="bullet"/>
      <w:lvlText w:val="o"/>
      <w:lvlJc w:val="left"/>
      <w:pPr>
        <w:ind w:left="1800" w:hanging="360"/>
      </w:pPr>
      <w:rPr>
        <w:rFonts w:ascii="Courier New" w:hAnsi="Courier New" w:cs="Courier New" w:hint="default"/>
      </w:rPr>
    </w:lvl>
    <w:lvl w:ilvl="3" w:tplc="0C0A0003">
      <w:start w:val="1"/>
      <w:numFmt w:val="bullet"/>
      <w:lvlText w:val="o"/>
      <w:lvlJc w:val="left"/>
      <w:pPr>
        <w:ind w:left="2520" w:hanging="360"/>
      </w:pPr>
      <w:rPr>
        <w:rFonts w:ascii="Courier New" w:hAnsi="Courier New" w:cs="Courier New"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AEA6944"/>
    <w:multiLevelType w:val="hybridMultilevel"/>
    <w:tmpl w:val="2B1C1AB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5B116D"/>
    <w:multiLevelType w:val="hybridMultilevel"/>
    <w:tmpl w:val="8B1AF94E"/>
    <w:lvl w:ilvl="0" w:tplc="0C0A0005">
      <w:start w:val="1"/>
      <w:numFmt w:val="bullet"/>
      <w:lvlText w:val=""/>
      <w:lvlJc w:val="left"/>
      <w:pPr>
        <w:ind w:left="1776" w:hanging="360"/>
      </w:pPr>
      <w:rPr>
        <w:rFonts w:ascii="Wingdings" w:hAnsi="Wingdings" w:hint="default"/>
      </w:rPr>
    </w:lvl>
    <w:lvl w:ilvl="1" w:tplc="0C0A0005">
      <w:start w:val="1"/>
      <w:numFmt w:val="bullet"/>
      <w:lvlText w:val=""/>
      <w:lvlJc w:val="left"/>
      <w:pPr>
        <w:ind w:left="2496" w:hanging="360"/>
      </w:pPr>
      <w:rPr>
        <w:rFonts w:ascii="Wingdings" w:hAnsi="Wingdings"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49032CF3"/>
    <w:multiLevelType w:val="hybridMultilevel"/>
    <w:tmpl w:val="A90EEBE2"/>
    <w:lvl w:ilvl="0" w:tplc="0C0A0001">
      <w:start w:val="1"/>
      <w:numFmt w:val="bullet"/>
      <w:lvlText w:val=""/>
      <w:lvlJc w:val="left"/>
      <w:pPr>
        <w:ind w:left="1024" w:hanging="360"/>
      </w:pPr>
      <w:rPr>
        <w:rFonts w:ascii="Symbol" w:hAnsi="Symbol" w:hint="default"/>
      </w:rPr>
    </w:lvl>
    <w:lvl w:ilvl="1" w:tplc="0C0A0003">
      <w:start w:val="1"/>
      <w:numFmt w:val="bullet"/>
      <w:lvlText w:val="o"/>
      <w:lvlJc w:val="left"/>
      <w:pPr>
        <w:ind w:left="1744" w:hanging="360"/>
      </w:pPr>
      <w:rPr>
        <w:rFonts w:ascii="Courier New" w:hAnsi="Courier New" w:cs="Courier New" w:hint="default"/>
      </w:rPr>
    </w:lvl>
    <w:lvl w:ilvl="2" w:tplc="0C0A0005" w:tentative="1">
      <w:start w:val="1"/>
      <w:numFmt w:val="bullet"/>
      <w:lvlText w:val=""/>
      <w:lvlJc w:val="left"/>
      <w:pPr>
        <w:ind w:left="2464" w:hanging="360"/>
      </w:pPr>
      <w:rPr>
        <w:rFonts w:ascii="Wingdings" w:hAnsi="Wingdings" w:hint="default"/>
      </w:rPr>
    </w:lvl>
    <w:lvl w:ilvl="3" w:tplc="0C0A0001" w:tentative="1">
      <w:start w:val="1"/>
      <w:numFmt w:val="bullet"/>
      <w:lvlText w:val=""/>
      <w:lvlJc w:val="left"/>
      <w:pPr>
        <w:ind w:left="3184" w:hanging="360"/>
      </w:pPr>
      <w:rPr>
        <w:rFonts w:ascii="Symbol" w:hAnsi="Symbol" w:hint="default"/>
      </w:rPr>
    </w:lvl>
    <w:lvl w:ilvl="4" w:tplc="0C0A0003" w:tentative="1">
      <w:start w:val="1"/>
      <w:numFmt w:val="bullet"/>
      <w:lvlText w:val="o"/>
      <w:lvlJc w:val="left"/>
      <w:pPr>
        <w:ind w:left="3904" w:hanging="360"/>
      </w:pPr>
      <w:rPr>
        <w:rFonts w:ascii="Courier New" w:hAnsi="Courier New" w:cs="Courier New" w:hint="default"/>
      </w:rPr>
    </w:lvl>
    <w:lvl w:ilvl="5" w:tplc="0C0A0005" w:tentative="1">
      <w:start w:val="1"/>
      <w:numFmt w:val="bullet"/>
      <w:lvlText w:val=""/>
      <w:lvlJc w:val="left"/>
      <w:pPr>
        <w:ind w:left="4624" w:hanging="360"/>
      </w:pPr>
      <w:rPr>
        <w:rFonts w:ascii="Wingdings" w:hAnsi="Wingdings" w:hint="default"/>
      </w:rPr>
    </w:lvl>
    <w:lvl w:ilvl="6" w:tplc="0C0A0001" w:tentative="1">
      <w:start w:val="1"/>
      <w:numFmt w:val="bullet"/>
      <w:lvlText w:val=""/>
      <w:lvlJc w:val="left"/>
      <w:pPr>
        <w:ind w:left="5344" w:hanging="360"/>
      </w:pPr>
      <w:rPr>
        <w:rFonts w:ascii="Symbol" w:hAnsi="Symbol" w:hint="default"/>
      </w:rPr>
    </w:lvl>
    <w:lvl w:ilvl="7" w:tplc="0C0A0003" w:tentative="1">
      <w:start w:val="1"/>
      <w:numFmt w:val="bullet"/>
      <w:lvlText w:val="o"/>
      <w:lvlJc w:val="left"/>
      <w:pPr>
        <w:ind w:left="6064" w:hanging="360"/>
      </w:pPr>
      <w:rPr>
        <w:rFonts w:ascii="Courier New" w:hAnsi="Courier New" w:cs="Courier New" w:hint="default"/>
      </w:rPr>
    </w:lvl>
    <w:lvl w:ilvl="8" w:tplc="0C0A0005" w:tentative="1">
      <w:start w:val="1"/>
      <w:numFmt w:val="bullet"/>
      <w:lvlText w:val=""/>
      <w:lvlJc w:val="left"/>
      <w:pPr>
        <w:ind w:left="6784" w:hanging="360"/>
      </w:pPr>
      <w:rPr>
        <w:rFonts w:ascii="Wingdings" w:hAnsi="Wingdings" w:hint="default"/>
      </w:rPr>
    </w:lvl>
  </w:abstractNum>
  <w:abstractNum w:abstractNumId="17" w15:restartNumberingAfterBreak="0">
    <w:nsid w:val="49BB5253"/>
    <w:multiLevelType w:val="hybridMultilevel"/>
    <w:tmpl w:val="F386E94A"/>
    <w:lvl w:ilvl="0" w:tplc="0C0A0001">
      <w:start w:val="1"/>
      <w:numFmt w:val="bullet"/>
      <w:lvlText w:val=""/>
      <w:lvlJc w:val="left"/>
      <w:pPr>
        <w:ind w:left="2204" w:hanging="360"/>
      </w:pPr>
      <w:rPr>
        <w:rFonts w:ascii="Symbol" w:hAnsi="Symbol" w:hint="default"/>
      </w:rPr>
    </w:lvl>
    <w:lvl w:ilvl="1" w:tplc="0C0A0003">
      <w:start w:val="1"/>
      <w:numFmt w:val="bullet"/>
      <w:lvlText w:val="o"/>
      <w:lvlJc w:val="left"/>
      <w:pPr>
        <w:ind w:left="2924" w:hanging="360"/>
      </w:pPr>
      <w:rPr>
        <w:rFonts w:ascii="Courier New" w:hAnsi="Courier New" w:cs="Courier New" w:hint="default"/>
      </w:rPr>
    </w:lvl>
    <w:lvl w:ilvl="2" w:tplc="0C0A0005">
      <w:start w:val="1"/>
      <w:numFmt w:val="bullet"/>
      <w:lvlText w:val=""/>
      <w:lvlJc w:val="left"/>
      <w:pPr>
        <w:ind w:left="3644" w:hanging="360"/>
      </w:pPr>
      <w:rPr>
        <w:rFonts w:ascii="Wingdings" w:hAnsi="Wingdings" w:hint="default"/>
      </w:rPr>
    </w:lvl>
    <w:lvl w:ilvl="3" w:tplc="0C0A0001">
      <w:start w:val="1"/>
      <w:numFmt w:val="bullet"/>
      <w:lvlText w:val=""/>
      <w:lvlJc w:val="left"/>
      <w:pPr>
        <w:ind w:left="4364" w:hanging="360"/>
      </w:pPr>
      <w:rPr>
        <w:rFonts w:ascii="Symbol" w:hAnsi="Symbol" w:hint="default"/>
      </w:rPr>
    </w:lvl>
    <w:lvl w:ilvl="4" w:tplc="0C0A0003">
      <w:start w:val="1"/>
      <w:numFmt w:val="bullet"/>
      <w:lvlText w:val="o"/>
      <w:lvlJc w:val="left"/>
      <w:pPr>
        <w:ind w:left="5084" w:hanging="360"/>
      </w:pPr>
      <w:rPr>
        <w:rFonts w:ascii="Courier New" w:hAnsi="Courier New" w:cs="Courier New" w:hint="default"/>
      </w:rPr>
    </w:lvl>
    <w:lvl w:ilvl="5" w:tplc="0C0A0005">
      <w:start w:val="1"/>
      <w:numFmt w:val="bullet"/>
      <w:lvlText w:val=""/>
      <w:lvlJc w:val="left"/>
      <w:pPr>
        <w:ind w:left="5804" w:hanging="360"/>
      </w:pPr>
      <w:rPr>
        <w:rFonts w:ascii="Wingdings" w:hAnsi="Wingdings" w:hint="default"/>
      </w:rPr>
    </w:lvl>
    <w:lvl w:ilvl="6" w:tplc="0C0A0001">
      <w:start w:val="1"/>
      <w:numFmt w:val="bullet"/>
      <w:lvlText w:val=""/>
      <w:lvlJc w:val="left"/>
      <w:pPr>
        <w:ind w:left="6524" w:hanging="360"/>
      </w:pPr>
      <w:rPr>
        <w:rFonts w:ascii="Symbol" w:hAnsi="Symbol" w:hint="default"/>
      </w:rPr>
    </w:lvl>
    <w:lvl w:ilvl="7" w:tplc="0C0A0003">
      <w:start w:val="1"/>
      <w:numFmt w:val="bullet"/>
      <w:lvlText w:val="o"/>
      <w:lvlJc w:val="left"/>
      <w:pPr>
        <w:ind w:left="7244" w:hanging="360"/>
      </w:pPr>
      <w:rPr>
        <w:rFonts w:ascii="Courier New" w:hAnsi="Courier New" w:cs="Courier New" w:hint="default"/>
      </w:rPr>
    </w:lvl>
    <w:lvl w:ilvl="8" w:tplc="0C0A0005">
      <w:start w:val="1"/>
      <w:numFmt w:val="bullet"/>
      <w:lvlText w:val=""/>
      <w:lvlJc w:val="left"/>
      <w:pPr>
        <w:ind w:left="7964" w:hanging="360"/>
      </w:pPr>
      <w:rPr>
        <w:rFonts w:ascii="Wingdings" w:hAnsi="Wingdings" w:hint="default"/>
      </w:rPr>
    </w:lvl>
  </w:abstractNum>
  <w:abstractNum w:abstractNumId="18" w15:restartNumberingAfterBreak="0">
    <w:nsid w:val="4BBA55A5"/>
    <w:multiLevelType w:val="hybridMultilevel"/>
    <w:tmpl w:val="D146FA32"/>
    <w:lvl w:ilvl="0" w:tplc="0C0A0005">
      <w:start w:val="1"/>
      <w:numFmt w:val="bullet"/>
      <w:lvlText w:val=""/>
      <w:lvlJc w:val="left"/>
      <w:pPr>
        <w:ind w:left="1776" w:hanging="360"/>
      </w:pPr>
      <w:rPr>
        <w:rFonts w:ascii="Wingdings" w:hAnsi="Wingdings" w:hint="default"/>
      </w:rPr>
    </w:lvl>
    <w:lvl w:ilvl="1" w:tplc="0C0A0005">
      <w:start w:val="1"/>
      <w:numFmt w:val="bullet"/>
      <w:lvlText w:val=""/>
      <w:lvlJc w:val="left"/>
      <w:pPr>
        <w:ind w:left="2496" w:hanging="360"/>
      </w:pPr>
      <w:rPr>
        <w:rFonts w:ascii="Wingdings" w:hAnsi="Wingdings"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4BD908E8"/>
    <w:multiLevelType w:val="multilevel"/>
    <w:tmpl w:val="7EBC6EE0"/>
    <w:lvl w:ilvl="0">
      <w:start w:val="2"/>
      <w:numFmt w:val="decimal"/>
      <w:lvlText w:val="%1."/>
      <w:lvlJc w:val="left"/>
      <w:pPr>
        <w:ind w:left="375" w:hanging="375"/>
      </w:pPr>
      <w:rPr>
        <w:rFonts w:hint="default"/>
        <w:b/>
        <w:color w:val="auto"/>
      </w:rPr>
    </w:lvl>
    <w:lvl w:ilvl="1">
      <w:start w:val="1"/>
      <w:numFmt w:val="bullet"/>
      <w:lvlText w:val=""/>
      <w:lvlJc w:val="left"/>
      <w:pPr>
        <w:ind w:left="1288" w:hanging="720"/>
      </w:pPr>
      <w:rPr>
        <w:rFonts w:ascii="Symbol" w:hAnsi="Symbol" w:hint="default"/>
        <w:b/>
      </w:rPr>
    </w:lvl>
    <w:lvl w:ilvl="2">
      <w:start w:val="1"/>
      <w:numFmt w:val="decimal"/>
      <w:lvlText w:val="3.%2-%3."/>
      <w:lvlJc w:val="left"/>
      <w:pPr>
        <w:ind w:left="1004" w:hanging="720"/>
      </w:pPr>
      <w:rPr>
        <w:rFonts w:hint="default"/>
        <w:b/>
      </w:rPr>
    </w:lvl>
    <w:lvl w:ilvl="3">
      <w:start w:val="1"/>
      <w:numFmt w:val="decimal"/>
      <w:lvlText w:val="3.%2-%3.%4."/>
      <w:lvlJc w:val="left"/>
      <w:pPr>
        <w:ind w:left="2356"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20" w15:restartNumberingAfterBreak="0">
    <w:nsid w:val="4C2F767B"/>
    <w:multiLevelType w:val="hybridMultilevel"/>
    <w:tmpl w:val="611A8DFA"/>
    <w:lvl w:ilvl="0" w:tplc="0C0A0001">
      <w:start w:val="1"/>
      <w:numFmt w:val="bullet"/>
      <w:lvlText w:val=""/>
      <w:lvlJc w:val="left"/>
      <w:pPr>
        <w:ind w:left="1068" w:hanging="360"/>
      </w:pPr>
      <w:rPr>
        <w:rFonts w:ascii="Symbol" w:hAnsi="Symbol" w:hint="default"/>
      </w:rPr>
    </w:lvl>
    <w:lvl w:ilvl="1" w:tplc="0C0A0005">
      <w:start w:val="1"/>
      <w:numFmt w:val="bullet"/>
      <w:lvlText w:val=""/>
      <w:lvlJc w:val="left"/>
      <w:pPr>
        <w:ind w:left="1788" w:hanging="360"/>
      </w:pPr>
      <w:rPr>
        <w:rFonts w:ascii="Wingdings" w:hAnsi="Wingdings" w:hint="default"/>
      </w:rPr>
    </w:lvl>
    <w:lvl w:ilvl="2" w:tplc="73087436">
      <w:numFmt w:val="bullet"/>
      <w:lvlText w:val="-"/>
      <w:lvlJc w:val="left"/>
      <w:pPr>
        <w:ind w:left="2508" w:hanging="360"/>
      </w:pPr>
      <w:rPr>
        <w:rFonts w:ascii="Calibri" w:eastAsiaTheme="minorHAnsi" w:hAnsi="Calibri" w:cs="Calibri" w:hint="default"/>
      </w:rPr>
    </w:lvl>
    <w:lvl w:ilvl="3" w:tplc="0C0A0001">
      <w:start w:val="1"/>
      <w:numFmt w:val="bullet"/>
      <w:lvlText w:val=""/>
      <w:lvlJc w:val="left"/>
      <w:pPr>
        <w:ind w:left="3228" w:hanging="360"/>
      </w:pPr>
      <w:rPr>
        <w:rFonts w:ascii="Symbol" w:hAnsi="Symbol" w:hint="default"/>
      </w:rPr>
    </w:lvl>
    <w:lvl w:ilvl="4" w:tplc="73087436">
      <w:numFmt w:val="bullet"/>
      <w:lvlText w:val="-"/>
      <w:lvlJc w:val="left"/>
      <w:pPr>
        <w:ind w:left="3948" w:hanging="360"/>
      </w:pPr>
      <w:rPr>
        <w:rFonts w:ascii="Calibri" w:eastAsiaTheme="minorHAnsi" w:hAnsi="Calibri" w:cs="Calibri"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4CD266E3"/>
    <w:multiLevelType w:val="hybridMultilevel"/>
    <w:tmpl w:val="B01EFED6"/>
    <w:lvl w:ilvl="0" w:tplc="0C0A0001">
      <w:start w:val="1"/>
      <w:numFmt w:val="bullet"/>
      <w:lvlText w:val=""/>
      <w:lvlJc w:val="left"/>
      <w:pPr>
        <w:ind w:left="1571" w:hanging="360"/>
      </w:pPr>
      <w:rPr>
        <w:rFonts w:ascii="Symbol" w:hAnsi="Symbol"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2" w15:restartNumberingAfterBreak="0">
    <w:nsid w:val="4F104EBD"/>
    <w:multiLevelType w:val="hybridMultilevel"/>
    <w:tmpl w:val="84564A0E"/>
    <w:lvl w:ilvl="0" w:tplc="0C0A0001">
      <w:start w:val="1"/>
      <w:numFmt w:val="bullet"/>
      <w:lvlText w:val=""/>
      <w:lvlJc w:val="left"/>
      <w:pPr>
        <w:ind w:left="2145" w:hanging="360"/>
      </w:pPr>
      <w:rPr>
        <w:rFonts w:ascii="Symbol" w:hAnsi="Symbol" w:hint="default"/>
      </w:rPr>
    </w:lvl>
    <w:lvl w:ilvl="1" w:tplc="0C0A0001">
      <w:start w:val="1"/>
      <w:numFmt w:val="bullet"/>
      <w:lvlText w:val=""/>
      <w:lvlJc w:val="left"/>
      <w:pPr>
        <w:ind w:left="2865" w:hanging="360"/>
      </w:pPr>
      <w:rPr>
        <w:rFonts w:ascii="Symbol" w:hAnsi="Symbol" w:hint="default"/>
      </w:rPr>
    </w:lvl>
    <w:lvl w:ilvl="2" w:tplc="0C0A0001">
      <w:start w:val="1"/>
      <w:numFmt w:val="bullet"/>
      <w:lvlText w:val=""/>
      <w:lvlJc w:val="left"/>
      <w:pPr>
        <w:ind w:left="3585" w:hanging="360"/>
      </w:pPr>
      <w:rPr>
        <w:rFonts w:ascii="Symbol" w:hAnsi="Symbol" w:hint="default"/>
      </w:rPr>
    </w:lvl>
    <w:lvl w:ilvl="3" w:tplc="70829BE2">
      <w:numFmt w:val="bullet"/>
      <w:lvlText w:val="-"/>
      <w:lvlJc w:val="left"/>
      <w:pPr>
        <w:ind w:left="4305" w:hanging="360"/>
      </w:pPr>
      <w:rPr>
        <w:rFonts w:ascii="ArialMT" w:eastAsiaTheme="minorHAnsi" w:hAnsi="ArialMT" w:cs="ArialMT"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23" w15:restartNumberingAfterBreak="0">
    <w:nsid w:val="50494F06"/>
    <w:multiLevelType w:val="hybridMultilevel"/>
    <w:tmpl w:val="608C789E"/>
    <w:lvl w:ilvl="0" w:tplc="0C0A0001">
      <w:start w:val="1"/>
      <w:numFmt w:val="bullet"/>
      <w:lvlText w:val=""/>
      <w:lvlJc w:val="left"/>
      <w:pPr>
        <w:ind w:left="1068" w:hanging="360"/>
      </w:pPr>
      <w:rPr>
        <w:rFonts w:ascii="Symbol" w:hAnsi="Symbol" w:hint="default"/>
      </w:rPr>
    </w:lvl>
    <w:lvl w:ilvl="1" w:tplc="0C0A0005">
      <w:start w:val="1"/>
      <w:numFmt w:val="bullet"/>
      <w:lvlText w:val=""/>
      <w:lvlJc w:val="left"/>
      <w:pPr>
        <w:ind w:left="1788" w:hanging="360"/>
      </w:pPr>
      <w:rPr>
        <w:rFonts w:ascii="Wingdings" w:hAnsi="Wingdings" w:hint="default"/>
      </w:rPr>
    </w:lvl>
    <w:lvl w:ilvl="2" w:tplc="0C0A0001">
      <w:start w:val="1"/>
      <w:numFmt w:val="bullet"/>
      <w:lvlText w:val=""/>
      <w:lvlJc w:val="left"/>
      <w:pPr>
        <w:ind w:left="2508" w:hanging="360"/>
      </w:pPr>
      <w:rPr>
        <w:rFonts w:ascii="Symbol" w:hAnsi="Symbol" w:hint="default"/>
      </w:rPr>
    </w:lvl>
    <w:lvl w:ilvl="3" w:tplc="0C0A0001">
      <w:start w:val="1"/>
      <w:numFmt w:val="bullet"/>
      <w:lvlText w:val=""/>
      <w:lvlJc w:val="left"/>
      <w:pPr>
        <w:ind w:left="3228" w:hanging="360"/>
      </w:pPr>
      <w:rPr>
        <w:rFonts w:ascii="Symbol" w:hAnsi="Symbol" w:hint="default"/>
      </w:rPr>
    </w:lvl>
    <w:lvl w:ilvl="4" w:tplc="73087436">
      <w:numFmt w:val="bullet"/>
      <w:lvlText w:val="-"/>
      <w:lvlJc w:val="left"/>
      <w:pPr>
        <w:ind w:left="3948" w:hanging="360"/>
      </w:pPr>
      <w:rPr>
        <w:rFonts w:ascii="Calibri" w:eastAsiaTheme="minorHAnsi" w:hAnsi="Calibri" w:cs="Calibri"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50E35FC0"/>
    <w:multiLevelType w:val="hybridMultilevel"/>
    <w:tmpl w:val="D17E45C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58020B99"/>
    <w:multiLevelType w:val="hybridMultilevel"/>
    <w:tmpl w:val="23168BAC"/>
    <w:lvl w:ilvl="0" w:tplc="0C0A0005">
      <w:start w:val="1"/>
      <w:numFmt w:val="bullet"/>
      <w:lvlText w:val=""/>
      <w:lvlJc w:val="left"/>
      <w:pPr>
        <w:ind w:left="2496" w:hanging="360"/>
      </w:pPr>
      <w:rPr>
        <w:rFonts w:ascii="Wingdings" w:hAnsi="Wingdings"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26" w15:restartNumberingAfterBreak="0">
    <w:nsid w:val="584178F5"/>
    <w:multiLevelType w:val="hybridMultilevel"/>
    <w:tmpl w:val="0AEAFF4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9C75F3C"/>
    <w:multiLevelType w:val="hybridMultilevel"/>
    <w:tmpl w:val="7CBC9C4C"/>
    <w:lvl w:ilvl="0" w:tplc="0C0A0005">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5B591DBD"/>
    <w:multiLevelType w:val="hybridMultilevel"/>
    <w:tmpl w:val="9CCA75E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108D49C">
      <w:numFmt w:val="bullet"/>
      <w:lvlText w:val="-"/>
      <w:lvlJc w:val="left"/>
      <w:pPr>
        <w:ind w:left="2160" w:hanging="360"/>
      </w:pPr>
      <w:rPr>
        <w:rFonts w:ascii="Calibri" w:eastAsiaTheme="minorHAnsi" w:hAnsi="Calibri" w:cs="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C2543BD"/>
    <w:multiLevelType w:val="hybridMultilevel"/>
    <w:tmpl w:val="C798CBFA"/>
    <w:lvl w:ilvl="0" w:tplc="0C0A0001">
      <w:start w:val="1"/>
      <w:numFmt w:val="bullet"/>
      <w:lvlText w:val=""/>
      <w:lvlJc w:val="left"/>
      <w:pPr>
        <w:ind w:left="1068" w:hanging="360"/>
      </w:pPr>
      <w:rPr>
        <w:rFonts w:ascii="Symbol" w:hAnsi="Symbol" w:hint="default"/>
      </w:rPr>
    </w:lvl>
    <w:lvl w:ilvl="1" w:tplc="0C0A0005">
      <w:start w:val="1"/>
      <w:numFmt w:val="bullet"/>
      <w:lvlText w:val=""/>
      <w:lvlJc w:val="left"/>
      <w:pPr>
        <w:ind w:left="1788" w:hanging="360"/>
      </w:pPr>
      <w:rPr>
        <w:rFonts w:ascii="Wingdings" w:hAnsi="Wingdings" w:hint="default"/>
      </w:rPr>
    </w:lvl>
    <w:lvl w:ilvl="2" w:tplc="73087436">
      <w:numFmt w:val="bullet"/>
      <w:lvlText w:val="-"/>
      <w:lvlJc w:val="left"/>
      <w:pPr>
        <w:ind w:left="2508" w:hanging="360"/>
      </w:pPr>
      <w:rPr>
        <w:rFonts w:ascii="Calibri" w:eastAsiaTheme="minorHAnsi" w:hAnsi="Calibri" w:cs="Calibri" w:hint="default"/>
      </w:rPr>
    </w:lvl>
    <w:lvl w:ilvl="3" w:tplc="0C0A0001">
      <w:start w:val="1"/>
      <w:numFmt w:val="bullet"/>
      <w:lvlText w:val=""/>
      <w:lvlJc w:val="left"/>
      <w:pPr>
        <w:ind w:left="3228" w:hanging="360"/>
      </w:pPr>
      <w:rPr>
        <w:rFonts w:ascii="Symbol" w:hAnsi="Symbol" w:hint="default"/>
      </w:rPr>
    </w:lvl>
    <w:lvl w:ilvl="4" w:tplc="73087436">
      <w:numFmt w:val="bullet"/>
      <w:lvlText w:val="-"/>
      <w:lvlJc w:val="left"/>
      <w:pPr>
        <w:ind w:left="3948" w:hanging="360"/>
      </w:pPr>
      <w:rPr>
        <w:rFonts w:ascii="Calibri" w:eastAsiaTheme="minorHAnsi" w:hAnsi="Calibri" w:cs="Calibri"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5E7037A5"/>
    <w:multiLevelType w:val="multilevel"/>
    <w:tmpl w:val="C846A338"/>
    <w:lvl w:ilvl="0">
      <w:start w:val="1"/>
      <w:numFmt w:val="bullet"/>
      <w:lvlText w:val=""/>
      <w:lvlJc w:val="left"/>
      <w:pPr>
        <w:ind w:left="1458" w:hanging="375"/>
      </w:pPr>
      <w:rPr>
        <w:rFonts w:ascii="Wingdings" w:hAnsi="Wingdings" w:hint="default"/>
        <w:b/>
        <w:color w:val="auto"/>
      </w:rPr>
    </w:lvl>
    <w:lvl w:ilvl="1">
      <w:start w:val="1"/>
      <w:numFmt w:val="bullet"/>
      <w:lvlText w:val=""/>
      <w:lvlJc w:val="left"/>
      <w:pPr>
        <w:ind w:left="2371" w:hanging="720"/>
      </w:pPr>
      <w:rPr>
        <w:rFonts w:ascii="Symbol" w:hAnsi="Symbol" w:hint="default"/>
        <w:b/>
      </w:rPr>
    </w:lvl>
    <w:lvl w:ilvl="2">
      <w:start w:val="1"/>
      <w:numFmt w:val="decimal"/>
      <w:lvlText w:val="3.%2-%3."/>
      <w:lvlJc w:val="left"/>
      <w:pPr>
        <w:ind w:left="2087" w:hanging="720"/>
      </w:pPr>
      <w:rPr>
        <w:rFonts w:hint="default"/>
        <w:b/>
      </w:rPr>
    </w:lvl>
    <w:lvl w:ilvl="3">
      <w:start w:val="1"/>
      <w:numFmt w:val="decimal"/>
      <w:lvlText w:val="3.%2-%3.%4."/>
      <w:lvlJc w:val="left"/>
      <w:pPr>
        <w:ind w:left="3439" w:hanging="1080"/>
      </w:pPr>
      <w:rPr>
        <w:rFonts w:hint="default"/>
        <w:b/>
      </w:rPr>
    </w:lvl>
    <w:lvl w:ilvl="4">
      <w:start w:val="1"/>
      <w:numFmt w:val="decimal"/>
      <w:lvlText w:val="%1.%2-%3.%4.%5."/>
      <w:lvlJc w:val="left"/>
      <w:pPr>
        <w:ind w:left="3867" w:hanging="1080"/>
      </w:pPr>
      <w:rPr>
        <w:rFonts w:hint="default"/>
        <w:b/>
      </w:rPr>
    </w:lvl>
    <w:lvl w:ilvl="5">
      <w:start w:val="1"/>
      <w:numFmt w:val="decimal"/>
      <w:lvlText w:val="%1.%2-%3.%4.%5.%6."/>
      <w:lvlJc w:val="left"/>
      <w:pPr>
        <w:ind w:left="4653" w:hanging="1440"/>
      </w:pPr>
      <w:rPr>
        <w:rFonts w:hint="default"/>
        <w:b/>
      </w:rPr>
    </w:lvl>
    <w:lvl w:ilvl="6">
      <w:start w:val="1"/>
      <w:numFmt w:val="decimal"/>
      <w:lvlText w:val="%1.%2-%3.%4.%5.%6.%7."/>
      <w:lvlJc w:val="left"/>
      <w:pPr>
        <w:ind w:left="5079" w:hanging="1440"/>
      </w:pPr>
      <w:rPr>
        <w:rFonts w:hint="default"/>
        <w:b/>
      </w:rPr>
    </w:lvl>
    <w:lvl w:ilvl="7">
      <w:start w:val="1"/>
      <w:numFmt w:val="decimal"/>
      <w:lvlText w:val="%1.%2-%3.%4.%5.%6.%7.%8."/>
      <w:lvlJc w:val="left"/>
      <w:pPr>
        <w:ind w:left="5865" w:hanging="1800"/>
      </w:pPr>
      <w:rPr>
        <w:rFonts w:hint="default"/>
        <w:b/>
      </w:rPr>
    </w:lvl>
    <w:lvl w:ilvl="8">
      <w:start w:val="1"/>
      <w:numFmt w:val="decimal"/>
      <w:lvlText w:val="%1.%2-%3.%4.%5.%6.%7.%8.%9."/>
      <w:lvlJc w:val="left"/>
      <w:pPr>
        <w:ind w:left="6291" w:hanging="1800"/>
      </w:pPr>
      <w:rPr>
        <w:rFonts w:hint="default"/>
        <w:b/>
      </w:rPr>
    </w:lvl>
  </w:abstractNum>
  <w:abstractNum w:abstractNumId="31" w15:restartNumberingAfterBreak="0">
    <w:nsid w:val="5F726E08"/>
    <w:multiLevelType w:val="hybridMultilevel"/>
    <w:tmpl w:val="FCCE1E68"/>
    <w:lvl w:ilvl="0" w:tplc="0C0A0001">
      <w:start w:val="1"/>
      <w:numFmt w:val="bullet"/>
      <w:lvlText w:val=""/>
      <w:lvlJc w:val="left"/>
      <w:pPr>
        <w:ind w:left="1068" w:hanging="360"/>
      </w:pPr>
      <w:rPr>
        <w:rFonts w:ascii="Symbol" w:hAnsi="Symbol" w:hint="default"/>
      </w:rPr>
    </w:lvl>
    <w:lvl w:ilvl="1" w:tplc="0C0A0005">
      <w:start w:val="1"/>
      <w:numFmt w:val="bullet"/>
      <w:lvlText w:val=""/>
      <w:lvlJc w:val="left"/>
      <w:pPr>
        <w:ind w:left="1788" w:hanging="360"/>
      </w:pPr>
      <w:rPr>
        <w:rFonts w:ascii="Wingdings" w:hAnsi="Wingdings" w:hint="default"/>
      </w:rPr>
    </w:lvl>
    <w:lvl w:ilvl="2" w:tplc="73087436">
      <w:numFmt w:val="bullet"/>
      <w:lvlText w:val="-"/>
      <w:lvlJc w:val="left"/>
      <w:pPr>
        <w:ind w:left="2508" w:hanging="360"/>
      </w:pPr>
      <w:rPr>
        <w:rFonts w:ascii="Calibri" w:eastAsiaTheme="minorHAnsi" w:hAnsi="Calibri" w:cs="Calibri" w:hint="default"/>
      </w:rPr>
    </w:lvl>
    <w:lvl w:ilvl="3" w:tplc="0C0A0001">
      <w:start w:val="1"/>
      <w:numFmt w:val="bullet"/>
      <w:lvlText w:val=""/>
      <w:lvlJc w:val="left"/>
      <w:pPr>
        <w:ind w:left="3228" w:hanging="360"/>
      </w:pPr>
      <w:rPr>
        <w:rFonts w:ascii="Symbol" w:hAnsi="Symbol" w:hint="default"/>
      </w:rPr>
    </w:lvl>
    <w:lvl w:ilvl="4" w:tplc="73087436">
      <w:numFmt w:val="bullet"/>
      <w:lvlText w:val="-"/>
      <w:lvlJc w:val="left"/>
      <w:pPr>
        <w:ind w:left="3948" w:hanging="360"/>
      </w:pPr>
      <w:rPr>
        <w:rFonts w:ascii="Calibri" w:eastAsiaTheme="minorHAnsi" w:hAnsi="Calibri" w:cs="Calibri"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0C51F85"/>
    <w:multiLevelType w:val="multilevel"/>
    <w:tmpl w:val="E1FC2908"/>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9A2AD5"/>
    <w:multiLevelType w:val="hybridMultilevel"/>
    <w:tmpl w:val="E90C1BF0"/>
    <w:lvl w:ilvl="0" w:tplc="73087436">
      <w:numFmt w:val="bullet"/>
      <w:lvlText w:val="-"/>
      <w:lvlJc w:val="left"/>
      <w:pPr>
        <w:ind w:left="2484" w:hanging="360"/>
      </w:pPr>
      <w:rPr>
        <w:rFonts w:ascii="Calibri" w:eastAsiaTheme="minorHAnsi" w:hAnsi="Calibri" w:cs="Calibri"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34" w15:restartNumberingAfterBreak="0">
    <w:nsid w:val="66B62B79"/>
    <w:multiLevelType w:val="hybridMultilevel"/>
    <w:tmpl w:val="E230D12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1C4502"/>
    <w:multiLevelType w:val="hybridMultilevel"/>
    <w:tmpl w:val="23606E00"/>
    <w:lvl w:ilvl="0" w:tplc="0C0A0005">
      <w:start w:val="1"/>
      <w:numFmt w:val="bullet"/>
      <w:lvlText w:val=""/>
      <w:lvlJc w:val="left"/>
      <w:pPr>
        <w:ind w:left="1636" w:hanging="360"/>
      </w:pPr>
      <w:rPr>
        <w:rFonts w:ascii="Wingdings" w:hAnsi="Wingdings" w:hint="default"/>
      </w:rPr>
    </w:lvl>
    <w:lvl w:ilvl="1" w:tplc="0C0A0003">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36" w15:restartNumberingAfterBreak="0">
    <w:nsid w:val="69AA6AC5"/>
    <w:multiLevelType w:val="hybridMultilevel"/>
    <w:tmpl w:val="D91E04C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265E66"/>
    <w:multiLevelType w:val="hybridMultilevel"/>
    <w:tmpl w:val="9E12BED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8" w15:restartNumberingAfterBreak="0">
    <w:nsid w:val="74BB6F16"/>
    <w:multiLevelType w:val="hybridMultilevel"/>
    <w:tmpl w:val="6A48C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6160DDC"/>
    <w:multiLevelType w:val="hybridMultilevel"/>
    <w:tmpl w:val="C4EAFC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7C1F0247"/>
    <w:multiLevelType w:val="multilevel"/>
    <w:tmpl w:val="E1FC2908"/>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FF52BE7"/>
    <w:multiLevelType w:val="hybridMultilevel"/>
    <w:tmpl w:val="0EAAD1E0"/>
    <w:lvl w:ilvl="0" w:tplc="0C0A0001">
      <w:start w:val="1"/>
      <w:numFmt w:val="bullet"/>
      <w:lvlText w:val=""/>
      <w:lvlJc w:val="left"/>
      <w:pPr>
        <w:ind w:left="1068" w:hanging="360"/>
      </w:pPr>
      <w:rPr>
        <w:rFonts w:ascii="Symbol" w:hAnsi="Symbol" w:hint="default"/>
      </w:rPr>
    </w:lvl>
    <w:lvl w:ilvl="1" w:tplc="0C0A0005">
      <w:start w:val="1"/>
      <w:numFmt w:val="bullet"/>
      <w:lvlText w:val=""/>
      <w:lvlJc w:val="left"/>
      <w:pPr>
        <w:ind w:left="1788" w:hanging="360"/>
      </w:pPr>
      <w:rPr>
        <w:rFonts w:ascii="Wingdings" w:hAnsi="Wingdings" w:hint="default"/>
      </w:rPr>
    </w:lvl>
    <w:lvl w:ilvl="2" w:tplc="73087436">
      <w:numFmt w:val="bullet"/>
      <w:lvlText w:val="-"/>
      <w:lvlJc w:val="left"/>
      <w:pPr>
        <w:ind w:left="2508" w:hanging="360"/>
      </w:pPr>
      <w:rPr>
        <w:rFonts w:ascii="Calibri" w:eastAsiaTheme="minorHAnsi" w:hAnsi="Calibri" w:cs="Calibri" w:hint="default"/>
      </w:rPr>
    </w:lvl>
    <w:lvl w:ilvl="3" w:tplc="0C0A0001">
      <w:start w:val="1"/>
      <w:numFmt w:val="bullet"/>
      <w:lvlText w:val=""/>
      <w:lvlJc w:val="left"/>
      <w:pPr>
        <w:ind w:left="3228" w:hanging="360"/>
      </w:pPr>
      <w:rPr>
        <w:rFonts w:ascii="Symbol" w:hAnsi="Symbol" w:hint="default"/>
      </w:rPr>
    </w:lvl>
    <w:lvl w:ilvl="4" w:tplc="73087436">
      <w:numFmt w:val="bullet"/>
      <w:lvlText w:val="-"/>
      <w:lvlJc w:val="left"/>
      <w:pPr>
        <w:ind w:left="3948" w:hanging="360"/>
      </w:pPr>
      <w:rPr>
        <w:rFonts w:ascii="Calibri" w:eastAsiaTheme="minorHAnsi" w:hAnsi="Calibri" w:cs="Calibri"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3"/>
  </w:num>
  <w:num w:numId="2">
    <w:abstractNumId w:val="16"/>
  </w:num>
  <w:num w:numId="3">
    <w:abstractNumId w:val="7"/>
  </w:num>
  <w:num w:numId="4">
    <w:abstractNumId w:val="14"/>
  </w:num>
  <w:num w:numId="5">
    <w:abstractNumId w:val="2"/>
  </w:num>
  <w:num w:numId="6">
    <w:abstractNumId w:val="34"/>
  </w:num>
  <w:num w:numId="7">
    <w:abstractNumId w:val="23"/>
  </w:num>
  <w:num w:numId="8">
    <w:abstractNumId w:val="5"/>
  </w:num>
  <w:num w:numId="9">
    <w:abstractNumId w:val="0"/>
  </w:num>
  <w:num w:numId="10">
    <w:abstractNumId w:val="24"/>
  </w:num>
  <w:num w:numId="11">
    <w:abstractNumId w:val="38"/>
  </w:num>
  <w:num w:numId="12">
    <w:abstractNumId w:val="6"/>
  </w:num>
  <w:num w:numId="13">
    <w:abstractNumId w:val="4"/>
  </w:num>
  <w:num w:numId="14">
    <w:abstractNumId w:val="37"/>
  </w:num>
  <w:num w:numId="15">
    <w:abstractNumId w:val="26"/>
  </w:num>
  <w:num w:numId="16">
    <w:abstractNumId w:val="36"/>
  </w:num>
  <w:num w:numId="17">
    <w:abstractNumId w:val="17"/>
  </w:num>
  <w:num w:numId="18">
    <w:abstractNumId w:val="1"/>
  </w:num>
  <w:num w:numId="19">
    <w:abstractNumId w:val="10"/>
  </w:num>
  <w:num w:numId="20">
    <w:abstractNumId w:val="11"/>
  </w:num>
  <w:num w:numId="21">
    <w:abstractNumId w:val="41"/>
  </w:num>
  <w:num w:numId="22">
    <w:abstractNumId w:val="20"/>
  </w:num>
  <w:num w:numId="23">
    <w:abstractNumId w:val="31"/>
  </w:num>
  <w:num w:numId="24">
    <w:abstractNumId w:val="29"/>
  </w:num>
  <w:num w:numId="25">
    <w:abstractNumId w:val="33"/>
  </w:num>
  <w:num w:numId="26">
    <w:abstractNumId w:val="3"/>
  </w:num>
  <w:num w:numId="27">
    <w:abstractNumId w:val="32"/>
  </w:num>
  <w:num w:numId="28">
    <w:abstractNumId w:val="40"/>
  </w:num>
  <w:num w:numId="29">
    <w:abstractNumId w:val="21"/>
  </w:num>
  <w:num w:numId="30">
    <w:abstractNumId w:val="12"/>
    <w:lvlOverride w:ilvl="0">
      <w:lvl w:ilvl="0">
        <w:start w:val="1"/>
        <w:numFmt w:val="none"/>
        <w:lvlText w:val="6."/>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2"/>
  </w:num>
  <w:num w:numId="32">
    <w:abstractNumId w:val="35"/>
  </w:num>
  <w:num w:numId="33">
    <w:abstractNumId w:val="9"/>
  </w:num>
  <w:num w:numId="34">
    <w:abstractNumId w:val="19"/>
  </w:num>
  <w:num w:numId="35">
    <w:abstractNumId w:val="8"/>
  </w:num>
  <w:num w:numId="36">
    <w:abstractNumId w:val="28"/>
  </w:num>
  <w:num w:numId="37">
    <w:abstractNumId w:val="27"/>
  </w:num>
  <w:num w:numId="38">
    <w:abstractNumId w:val="18"/>
  </w:num>
  <w:num w:numId="39">
    <w:abstractNumId w:val="15"/>
  </w:num>
  <w:num w:numId="40">
    <w:abstractNumId w:val="25"/>
  </w:num>
  <w:num w:numId="41">
    <w:abstractNumId w:val="30"/>
  </w:num>
  <w:num w:numId="42">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1B"/>
    <w:rsid w:val="000004EA"/>
    <w:rsid w:val="000005AF"/>
    <w:rsid w:val="00000819"/>
    <w:rsid w:val="00001D77"/>
    <w:rsid w:val="00001DDE"/>
    <w:rsid w:val="000024BA"/>
    <w:rsid w:val="00002701"/>
    <w:rsid w:val="0000281F"/>
    <w:rsid w:val="0000482A"/>
    <w:rsid w:val="000055EF"/>
    <w:rsid w:val="00006F68"/>
    <w:rsid w:val="0000775B"/>
    <w:rsid w:val="000079DE"/>
    <w:rsid w:val="00007D1C"/>
    <w:rsid w:val="000109B3"/>
    <w:rsid w:val="00010E24"/>
    <w:rsid w:val="000113EF"/>
    <w:rsid w:val="00011A6D"/>
    <w:rsid w:val="00012857"/>
    <w:rsid w:val="00012CD6"/>
    <w:rsid w:val="00014477"/>
    <w:rsid w:val="00014915"/>
    <w:rsid w:val="00015B3A"/>
    <w:rsid w:val="00015E10"/>
    <w:rsid w:val="00016CCC"/>
    <w:rsid w:val="00017427"/>
    <w:rsid w:val="000206D9"/>
    <w:rsid w:val="00021561"/>
    <w:rsid w:val="000227FE"/>
    <w:rsid w:val="00023FDB"/>
    <w:rsid w:val="000253BE"/>
    <w:rsid w:val="000255E6"/>
    <w:rsid w:val="00025831"/>
    <w:rsid w:val="00025F16"/>
    <w:rsid w:val="000260C9"/>
    <w:rsid w:val="000268A9"/>
    <w:rsid w:val="000303B3"/>
    <w:rsid w:val="000307EC"/>
    <w:rsid w:val="00031059"/>
    <w:rsid w:val="0003148C"/>
    <w:rsid w:val="00031777"/>
    <w:rsid w:val="00032942"/>
    <w:rsid w:val="000371BB"/>
    <w:rsid w:val="000402E2"/>
    <w:rsid w:val="0004033F"/>
    <w:rsid w:val="0004114B"/>
    <w:rsid w:val="00041451"/>
    <w:rsid w:val="00041C21"/>
    <w:rsid w:val="00041DB4"/>
    <w:rsid w:val="000427BD"/>
    <w:rsid w:val="00043F23"/>
    <w:rsid w:val="000440AE"/>
    <w:rsid w:val="0004447D"/>
    <w:rsid w:val="00044943"/>
    <w:rsid w:val="000451AC"/>
    <w:rsid w:val="00045234"/>
    <w:rsid w:val="0004548E"/>
    <w:rsid w:val="0004555A"/>
    <w:rsid w:val="00046AA6"/>
    <w:rsid w:val="000470A3"/>
    <w:rsid w:val="00047224"/>
    <w:rsid w:val="000502E5"/>
    <w:rsid w:val="00050A01"/>
    <w:rsid w:val="00050DA6"/>
    <w:rsid w:val="000524EC"/>
    <w:rsid w:val="000537CF"/>
    <w:rsid w:val="000537E7"/>
    <w:rsid w:val="00053C42"/>
    <w:rsid w:val="00055581"/>
    <w:rsid w:val="00055C22"/>
    <w:rsid w:val="0005611A"/>
    <w:rsid w:val="00056A09"/>
    <w:rsid w:val="00056AC7"/>
    <w:rsid w:val="00056C82"/>
    <w:rsid w:val="000571B6"/>
    <w:rsid w:val="000600E0"/>
    <w:rsid w:val="000606AF"/>
    <w:rsid w:val="000611B9"/>
    <w:rsid w:val="00061341"/>
    <w:rsid w:val="0006162D"/>
    <w:rsid w:val="0006375E"/>
    <w:rsid w:val="00063893"/>
    <w:rsid w:val="00064ED0"/>
    <w:rsid w:val="0006562E"/>
    <w:rsid w:val="0006681F"/>
    <w:rsid w:val="00066B4B"/>
    <w:rsid w:val="000674A4"/>
    <w:rsid w:val="00067D0C"/>
    <w:rsid w:val="000701FA"/>
    <w:rsid w:val="00070E8B"/>
    <w:rsid w:val="000720BB"/>
    <w:rsid w:val="00072DDA"/>
    <w:rsid w:val="00073F04"/>
    <w:rsid w:val="000744E4"/>
    <w:rsid w:val="00074567"/>
    <w:rsid w:val="000754D6"/>
    <w:rsid w:val="00076669"/>
    <w:rsid w:val="00080980"/>
    <w:rsid w:val="00082178"/>
    <w:rsid w:val="00082813"/>
    <w:rsid w:val="00082DDE"/>
    <w:rsid w:val="0008450B"/>
    <w:rsid w:val="000846EC"/>
    <w:rsid w:val="00084841"/>
    <w:rsid w:val="0008490B"/>
    <w:rsid w:val="00084A99"/>
    <w:rsid w:val="00084B00"/>
    <w:rsid w:val="00084FDB"/>
    <w:rsid w:val="0008514A"/>
    <w:rsid w:val="000852CC"/>
    <w:rsid w:val="00085790"/>
    <w:rsid w:val="00085B2E"/>
    <w:rsid w:val="0008600D"/>
    <w:rsid w:val="0008607C"/>
    <w:rsid w:val="00086F17"/>
    <w:rsid w:val="000870FD"/>
    <w:rsid w:val="00087750"/>
    <w:rsid w:val="00087939"/>
    <w:rsid w:val="00087DD7"/>
    <w:rsid w:val="00090E82"/>
    <w:rsid w:val="0009147B"/>
    <w:rsid w:val="0009184A"/>
    <w:rsid w:val="00091F8C"/>
    <w:rsid w:val="00092134"/>
    <w:rsid w:val="00092197"/>
    <w:rsid w:val="00092C12"/>
    <w:rsid w:val="000934C3"/>
    <w:rsid w:val="0009367F"/>
    <w:rsid w:val="000938BC"/>
    <w:rsid w:val="00094952"/>
    <w:rsid w:val="00094A3C"/>
    <w:rsid w:val="00094AD8"/>
    <w:rsid w:val="000951D1"/>
    <w:rsid w:val="000958C8"/>
    <w:rsid w:val="00096DFC"/>
    <w:rsid w:val="00097361"/>
    <w:rsid w:val="00097CFE"/>
    <w:rsid w:val="000A001B"/>
    <w:rsid w:val="000A0199"/>
    <w:rsid w:val="000A050D"/>
    <w:rsid w:val="000A0CD2"/>
    <w:rsid w:val="000A0E30"/>
    <w:rsid w:val="000A33D3"/>
    <w:rsid w:val="000A3532"/>
    <w:rsid w:val="000A392D"/>
    <w:rsid w:val="000A42B9"/>
    <w:rsid w:val="000A5800"/>
    <w:rsid w:val="000A5A12"/>
    <w:rsid w:val="000A6329"/>
    <w:rsid w:val="000A6BE5"/>
    <w:rsid w:val="000A7A29"/>
    <w:rsid w:val="000A7C25"/>
    <w:rsid w:val="000B0AA6"/>
    <w:rsid w:val="000B0F2F"/>
    <w:rsid w:val="000B11E8"/>
    <w:rsid w:val="000B1865"/>
    <w:rsid w:val="000B1C24"/>
    <w:rsid w:val="000B248F"/>
    <w:rsid w:val="000B2676"/>
    <w:rsid w:val="000B3432"/>
    <w:rsid w:val="000B350C"/>
    <w:rsid w:val="000B4098"/>
    <w:rsid w:val="000B6A5C"/>
    <w:rsid w:val="000B7DA7"/>
    <w:rsid w:val="000B7DB5"/>
    <w:rsid w:val="000C0AFC"/>
    <w:rsid w:val="000C145E"/>
    <w:rsid w:val="000C203F"/>
    <w:rsid w:val="000C2519"/>
    <w:rsid w:val="000C29DB"/>
    <w:rsid w:val="000C37B7"/>
    <w:rsid w:val="000C4005"/>
    <w:rsid w:val="000C4ED0"/>
    <w:rsid w:val="000C5630"/>
    <w:rsid w:val="000C59F6"/>
    <w:rsid w:val="000C69F1"/>
    <w:rsid w:val="000C7208"/>
    <w:rsid w:val="000C742F"/>
    <w:rsid w:val="000C7673"/>
    <w:rsid w:val="000C78D7"/>
    <w:rsid w:val="000D1CC4"/>
    <w:rsid w:val="000D1DD8"/>
    <w:rsid w:val="000D23B9"/>
    <w:rsid w:val="000D28F5"/>
    <w:rsid w:val="000D318A"/>
    <w:rsid w:val="000D3A2F"/>
    <w:rsid w:val="000D467D"/>
    <w:rsid w:val="000D48A0"/>
    <w:rsid w:val="000D49F6"/>
    <w:rsid w:val="000D4D6C"/>
    <w:rsid w:val="000D4F95"/>
    <w:rsid w:val="000D5590"/>
    <w:rsid w:val="000D603B"/>
    <w:rsid w:val="000D649D"/>
    <w:rsid w:val="000D64F6"/>
    <w:rsid w:val="000D6540"/>
    <w:rsid w:val="000D751C"/>
    <w:rsid w:val="000D7AA0"/>
    <w:rsid w:val="000D7BD8"/>
    <w:rsid w:val="000E0017"/>
    <w:rsid w:val="000E0206"/>
    <w:rsid w:val="000E114B"/>
    <w:rsid w:val="000E1171"/>
    <w:rsid w:val="000E23C6"/>
    <w:rsid w:val="000E2FF5"/>
    <w:rsid w:val="000E34AD"/>
    <w:rsid w:val="000E395E"/>
    <w:rsid w:val="000E3A49"/>
    <w:rsid w:val="000E3B2A"/>
    <w:rsid w:val="000E41EB"/>
    <w:rsid w:val="000E5262"/>
    <w:rsid w:val="000E55FB"/>
    <w:rsid w:val="000E5AE5"/>
    <w:rsid w:val="000E5ED2"/>
    <w:rsid w:val="000E5F3C"/>
    <w:rsid w:val="000E61DF"/>
    <w:rsid w:val="000E64E2"/>
    <w:rsid w:val="000E6B74"/>
    <w:rsid w:val="000E7178"/>
    <w:rsid w:val="000E778A"/>
    <w:rsid w:val="000E7EFD"/>
    <w:rsid w:val="000E7F47"/>
    <w:rsid w:val="000F0339"/>
    <w:rsid w:val="000F08EC"/>
    <w:rsid w:val="000F21C6"/>
    <w:rsid w:val="000F2B93"/>
    <w:rsid w:val="000F2CB6"/>
    <w:rsid w:val="000F3A1A"/>
    <w:rsid w:val="000F3C7B"/>
    <w:rsid w:val="000F4142"/>
    <w:rsid w:val="000F4750"/>
    <w:rsid w:val="000F4856"/>
    <w:rsid w:val="000F52A9"/>
    <w:rsid w:val="000F5374"/>
    <w:rsid w:val="000F5724"/>
    <w:rsid w:val="000F6270"/>
    <w:rsid w:val="000F6C32"/>
    <w:rsid w:val="000F70E0"/>
    <w:rsid w:val="000F752E"/>
    <w:rsid w:val="000F7A2C"/>
    <w:rsid w:val="00100F02"/>
    <w:rsid w:val="0010170A"/>
    <w:rsid w:val="0010174B"/>
    <w:rsid w:val="001024A1"/>
    <w:rsid w:val="00102612"/>
    <w:rsid w:val="00102ECA"/>
    <w:rsid w:val="00102F2B"/>
    <w:rsid w:val="00103DA2"/>
    <w:rsid w:val="0010457B"/>
    <w:rsid w:val="00105313"/>
    <w:rsid w:val="001053EF"/>
    <w:rsid w:val="00105E7A"/>
    <w:rsid w:val="00105F4A"/>
    <w:rsid w:val="00107145"/>
    <w:rsid w:val="00107607"/>
    <w:rsid w:val="00107727"/>
    <w:rsid w:val="0010791F"/>
    <w:rsid w:val="00111C66"/>
    <w:rsid w:val="00111DA1"/>
    <w:rsid w:val="001134A0"/>
    <w:rsid w:val="001136EE"/>
    <w:rsid w:val="00113EFE"/>
    <w:rsid w:val="0011405F"/>
    <w:rsid w:val="001144FA"/>
    <w:rsid w:val="001149D0"/>
    <w:rsid w:val="00115E4B"/>
    <w:rsid w:val="00115EED"/>
    <w:rsid w:val="00117025"/>
    <w:rsid w:val="00117534"/>
    <w:rsid w:val="001177E6"/>
    <w:rsid w:val="00121EAC"/>
    <w:rsid w:val="00122780"/>
    <w:rsid w:val="0012285E"/>
    <w:rsid w:val="00122A7C"/>
    <w:rsid w:val="001236A0"/>
    <w:rsid w:val="001240FC"/>
    <w:rsid w:val="001248A5"/>
    <w:rsid w:val="00124C3E"/>
    <w:rsid w:val="0012664B"/>
    <w:rsid w:val="00127755"/>
    <w:rsid w:val="0012792C"/>
    <w:rsid w:val="00127E39"/>
    <w:rsid w:val="00130632"/>
    <w:rsid w:val="001309D6"/>
    <w:rsid w:val="00131085"/>
    <w:rsid w:val="00131484"/>
    <w:rsid w:val="0013154E"/>
    <w:rsid w:val="00131829"/>
    <w:rsid w:val="00131A29"/>
    <w:rsid w:val="00133149"/>
    <w:rsid w:val="001333EC"/>
    <w:rsid w:val="00134A9B"/>
    <w:rsid w:val="00135951"/>
    <w:rsid w:val="001359DC"/>
    <w:rsid w:val="00135A45"/>
    <w:rsid w:val="00136BFF"/>
    <w:rsid w:val="00141D81"/>
    <w:rsid w:val="0014201C"/>
    <w:rsid w:val="00142AD2"/>
    <w:rsid w:val="00142E89"/>
    <w:rsid w:val="00143873"/>
    <w:rsid w:val="001459A8"/>
    <w:rsid w:val="001467EC"/>
    <w:rsid w:val="00146DE7"/>
    <w:rsid w:val="00146FEA"/>
    <w:rsid w:val="00146FF3"/>
    <w:rsid w:val="0014743A"/>
    <w:rsid w:val="00147947"/>
    <w:rsid w:val="0015075B"/>
    <w:rsid w:val="00151992"/>
    <w:rsid w:val="00152852"/>
    <w:rsid w:val="001533A3"/>
    <w:rsid w:val="00153529"/>
    <w:rsid w:val="00153715"/>
    <w:rsid w:val="00154836"/>
    <w:rsid w:val="00155527"/>
    <w:rsid w:val="0015592D"/>
    <w:rsid w:val="00155F3C"/>
    <w:rsid w:val="00156516"/>
    <w:rsid w:val="00156A26"/>
    <w:rsid w:val="00156FFE"/>
    <w:rsid w:val="00157765"/>
    <w:rsid w:val="00160EBC"/>
    <w:rsid w:val="00161C45"/>
    <w:rsid w:val="0016228D"/>
    <w:rsid w:val="00162E6C"/>
    <w:rsid w:val="00163073"/>
    <w:rsid w:val="00163564"/>
    <w:rsid w:val="00163AC9"/>
    <w:rsid w:val="00163E52"/>
    <w:rsid w:val="00165B52"/>
    <w:rsid w:val="00165BF2"/>
    <w:rsid w:val="001668C2"/>
    <w:rsid w:val="00166CC1"/>
    <w:rsid w:val="00167FA1"/>
    <w:rsid w:val="00170FE6"/>
    <w:rsid w:val="00171205"/>
    <w:rsid w:val="00171891"/>
    <w:rsid w:val="001729E4"/>
    <w:rsid w:val="00173599"/>
    <w:rsid w:val="00174B84"/>
    <w:rsid w:val="00174C04"/>
    <w:rsid w:val="00174F65"/>
    <w:rsid w:val="0017569C"/>
    <w:rsid w:val="001763A3"/>
    <w:rsid w:val="0017652A"/>
    <w:rsid w:val="00176E0B"/>
    <w:rsid w:val="0018011D"/>
    <w:rsid w:val="00181D00"/>
    <w:rsid w:val="00182434"/>
    <w:rsid w:val="00182F38"/>
    <w:rsid w:val="0018404D"/>
    <w:rsid w:val="00186655"/>
    <w:rsid w:val="00186F27"/>
    <w:rsid w:val="001904D7"/>
    <w:rsid w:val="00190758"/>
    <w:rsid w:val="001914C4"/>
    <w:rsid w:val="00192C76"/>
    <w:rsid w:val="00192F41"/>
    <w:rsid w:val="00194360"/>
    <w:rsid w:val="0019609B"/>
    <w:rsid w:val="001978E1"/>
    <w:rsid w:val="00197EE7"/>
    <w:rsid w:val="001A0208"/>
    <w:rsid w:val="001A083C"/>
    <w:rsid w:val="001A0F72"/>
    <w:rsid w:val="001A1611"/>
    <w:rsid w:val="001A203F"/>
    <w:rsid w:val="001A2B8F"/>
    <w:rsid w:val="001A2BB0"/>
    <w:rsid w:val="001A35F0"/>
    <w:rsid w:val="001A534D"/>
    <w:rsid w:val="001A5671"/>
    <w:rsid w:val="001A582B"/>
    <w:rsid w:val="001A5F85"/>
    <w:rsid w:val="001A5FA3"/>
    <w:rsid w:val="001A654E"/>
    <w:rsid w:val="001A66B3"/>
    <w:rsid w:val="001A6F31"/>
    <w:rsid w:val="001A72C9"/>
    <w:rsid w:val="001A7EE0"/>
    <w:rsid w:val="001B0009"/>
    <w:rsid w:val="001B0657"/>
    <w:rsid w:val="001B07F2"/>
    <w:rsid w:val="001B0823"/>
    <w:rsid w:val="001B089B"/>
    <w:rsid w:val="001B1495"/>
    <w:rsid w:val="001B1752"/>
    <w:rsid w:val="001B18FC"/>
    <w:rsid w:val="001B1A0A"/>
    <w:rsid w:val="001B2055"/>
    <w:rsid w:val="001B3439"/>
    <w:rsid w:val="001B41A4"/>
    <w:rsid w:val="001B521C"/>
    <w:rsid w:val="001B5C86"/>
    <w:rsid w:val="001B5E35"/>
    <w:rsid w:val="001B61E7"/>
    <w:rsid w:val="001B6BF5"/>
    <w:rsid w:val="001B6D46"/>
    <w:rsid w:val="001B7BA8"/>
    <w:rsid w:val="001C019D"/>
    <w:rsid w:val="001C03D8"/>
    <w:rsid w:val="001C0856"/>
    <w:rsid w:val="001C0EF6"/>
    <w:rsid w:val="001C11A9"/>
    <w:rsid w:val="001C1298"/>
    <w:rsid w:val="001C1D8C"/>
    <w:rsid w:val="001C1EB8"/>
    <w:rsid w:val="001C48BD"/>
    <w:rsid w:val="001C5640"/>
    <w:rsid w:val="001C5AB8"/>
    <w:rsid w:val="001C5F14"/>
    <w:rsid w:val="001C609A"/>
    <w:rsid w:val="001C74BD"/>
    <w:rsid w:val="001C7666"/>
    <w:rsid w:val="001C77B9"/>
    <w:rsid w:val="001C78BE"/>
    <w:rsid w:val="001C79A2"/>
    <w:rsid w:val="001C7CDE"/>
    <w:rsid w:val="001C7E7C"/>
    <w:rsid w:val="001D0127"/>
    <w:rsid w:val="001D0D51"/>
    <w:rsid w:val="001D1642"/>
    <w:rsid w:val="001D28D6"/>
    <w:rsid w:val="001D36C1"/>
    <w:rsid w:val="001D40C2"/>
    <w:rsid w:val="001D40FD"/>
    <w:rsid w:val="001D45E1"/>
    <w:rsid w:val="001D4B2C"/>
    <w:rsid w:val="001D4F14"/>
    <w:rsid w:val="001D5777"/>
    <w:rsid w:val="001D68A6"/>
    <w:rsid w:val="001D77FB"/>
    <w:rsid w:val="001D79F0"/>
    <w:rsid w:val="001E0011"/>
    <w:rsid w:val="001E015D"/>
    <w:rsid w:val="001E02C5"/>
    <w:rsid w:val="001E0647"/>
    <w:rsid w:val="001E0BC5"/>
    <w:rsid w:val="001E25E1"/>
    <w:rsid w:val="001E3C21"/>
    <w:rsid w:val="001E4735"/>
    <w:rsid w:val="001E56A0"/>
    <w:rsid w:val="001E5C03"/>
    <w:rsid w:val="001E5D41"/>
    <w:rsid w:val="001E7CF9"/>
    <w:rsid w:val="001F09D7"/>
    <w:rsid w:val="001F1222"/>
    <w:rsid w:val="001F1A10"/>
    <w:rsid w:val="001F1C27"/>
    <w:rsid w:val="001F3965"/>
    <w:rsid w:val="001F3BF5"/>
    <w:rsid w:val="001F3D2C"/>
    <w:rsid w:val="001F414A"/>
    <w:rsid w:val="001F4336"/>
    <w:rsid w:val="001F63C6"/>
    <w:rsid w:val="001F64A4"/>
    <w:rsid w:val="001F73E0"/>
    <w:rsid w:val="001F7D17"/>
    <w:rsid w:val="002000B2"/>
    <w:rsid w:val="00201188"/>
    <w:rsid w:val="002013BC"/>
    <w:rsid w:val="002017FC"/>
    <w:rsid w:val="002018E7"/>
    <w:rsid w:val="00201BC8"/>
    <w:rsid w:val="0020282B"/>
    <w:rsid w:val="002036F0"/>
    <w:rsid w:val="0020440C"/>
    <w:rsid w:val="002046FF"/>
    <w:rsid w:val="00205A82"/>
    <w:rsid w:val="00205FA1"/>
    <w:rsid w:val="0020628C"/>
    <w:rsid w:val="00206338"/>
    <w:rsid w:val="002063C2"/>
    <w:rsid w:val="002079F5"/>
    <w:rsid w:val="0021220B"/>
    <w:rsid w:val="002122A0"/>
    <w:rsid w:val="0021318B"/>
    <w:rsid w:val="002132D0"/>
    <w:rsid w:val="00213C58"/>
    <w:rsid w:val="0021430B"/>
    <w:rsid w:val="0021484F"/>
    <w:rsid w:val="00215358"/>
    <w:rsid w:val="00215516"/>
    <w:rsid w:val="002165A0"/>
    <w:rsid w:val="00216629"/>
    <w:rsid w:val="00217A8A"/>
    <w:rsid w:val="00217FC3"/>
    <w:rsid w:val="00220882"/>
    <w:rsid w:val="00220A08"/>
    <w:rsid w:val="002210D4"/>
    <w:rsid w:val="002224E1"/>
    <w:rsid w:val="002228E1"/>
    <w:rsid w:val="00222B3F"/>
    <w:rsid w:val="002238C8"/>
    <w:rsid w:val="00223D6F"/>
    <w:rsid w:val="0022483D"/>
    <w:rsid w:val="002250C1"/>
    <w:rsid w:val="00225281"/>
    <w:rsid w:val="002252B7"/>
    <w:rsid w:val="0022571A"/>
    <w:rsid w:val="00225A7A"/>
    <w:rsid w:val="00225DDA"/>
    <w:rsid w:val="00226F70"/>
    <w:rsid w:val="00230C3B"/>
    <w:rsid w:val="002315B5"/>
    <w:rsid w:val="00231A50"/>
    <w:rsid w:val="00231C45"/>
    <w:rsid w:val="0023238B"/>
    <w:rsid w:val="0023298A"/>
    <w:rsid w:val="002329EE"/>
    <w:rsid w:val="002330EA"/>
    <w:rsid w:val="00233D8E"/>
    <w:rsid w:val="002341A2"/>
    <w:rsid w:val="00234B2C"/>
    <w:rsid w:val="00234D03"/>
    <w:rsid w:val="0023521E"/>
    <w:rsid w:val="0023592B"/>
    <w:rsid w:val="00236876"/>
    <w:rsid w:val="00236B71"/>
    <w:rsid w:val="002372B0"/>
    <w:rsid w:val="00237AF8"/>
    <w:rsid w:val="00237E70"/>
    <w:rsid w:val="0024116A"/>
    <w:rsid w:val="0024311A"/>
    <w:rsid w:val="00243E00"/>
    <w:rsid w:val="002445A0"/>
    <w:rsid w:val="002453EE"/>
    <w:rsid w:val="002455AA"/>
    <w:rsid w:val="0024658C"/>
    <w:rsid w:val="002477B8"/>
    <w:rsid w:val="00247EA3"/>
    <w:rsid w:val="002502F3"/>
    <w:rsid w:val="00251E0B"/>
    <w:rsid w:val="00251F80"/>
    <w:rsid w:val="002540F6"/>
    <w:rsid w:val="002541DA"/>
    <w:rsid w:val="00255C1F"/>
    <w:rsid w:val="002561B5"/>
    <w:rsid w:val="0025650D"/>
    <w:rsid w:val="002568E6"/>
    <w:rsid w:val="00256E43"/>
    <w:rsid w:val="00257A5F"/>
    <w:rsid w:val="0026069F"/>
    <w:rsid w:val="00261309"/>
    <w:rsid w:val="002617DF"/>
    <w:rsid w:val="00263A3E"/>
    <w:rsid w:val="00263B66"/>
    <w:rsid w:val="00263CA8"/>
    <w:rsid w:val="00263D89"/>
    <w:rsid w:val="00263E2B"/>
    <w:rsid w:val="0026406F"/>
    <w:rsid w:val="002642ED"/>
    <w:rsid w:val="0026518C"/>
    <w:rsid w:val="002651D6"/>
    <w:rsid w:val="002656E9"/>
    <w:rsid w:val="002657C6"/>
    <w:rsid w:val="00265AA9"/>
    <w:rsid w:val="00265BD9"/>
    <w:rsid w:val="00265F4E"/>
    <w:rsid w:val="0026672B"/>
    <w:rsid w:val="00266A3C"/>
    <w:rsid w:val="00267A81"/>
    <w:rsid w:val="00267D15"/>
    <w:rsid w:val="002709CC"/>
    <w:rsid w:val="00270B51"/>
    <w:rsid w:val="00270D98"/>
    <w:rsid w:val="002715D4"/>
    <w:rsid w:val="00271AFF"/>
    <w:rsid w:val="00271DF8"/>
    <w:rsid w:val="0027260D"/>
    <w:rsid w:val="002738D7"/>
    <w:rsid w:val="00274027"/>
    <w:rsid w:val="002759A4"/>
    <w:rsid w:val="002759AD"/>
    <w:rsid w:val="0027613A"/>
    <w:rsid w:val="00276A8A"/>
    <w:rsid w:val="00276D41"/>
    <w:rsid w:val="00277B5A"/>
    <w:rsid w:val="00277BBB"/>
    <w:rsid w:val="00280494"/>
    <w:rsid w:val="002805DB"/>
    <w:rsid w:val="00280D49"/>
    <w:rsid w:val="00280DFD"/>
    <w:rsid w:val="002815AF"/>
    <w:rsid w:val="002816CD"/>
    <w:rsid w:val="002823E8"/>
    <w:rsid w:val="00283313"/>
    <w:rsid w:val="00283EFC"/>
    <w:rsid w:val="0028411D"/>
    <w:rsid w:val="00284F42"/>
    <w:rsid w:val="0028524D"/>
    <w:rsid w:val="002863BF"/>
    <w:rsid w:val="00287DFB"/>
    <w:rsid w:val="00287ECF"/>
    <w:rsid w:val="00295751"/>
    <w:rsid w:val="00295C4A"/>
    <w:rsid w:val="00295E46"/>
    <w:rsid w:val="002963BD"/>
    <w:rsid w:val="0029744B"/>
    <w:rsid w:val="00297B3E"/>
    <w:rsid w:val="00297B66"/>
    <w:rsid w:val="002A0D0D"/>
    <w:rsid w:val="002A17C1"/>
    <w:rsid w:val="002A17FF"/>
    <w:rsid w:val="002A1A2F"/>
    <w:rsid w:val="002A1C6F"/>
    <w:rsid w:val="002A2364"/>
    <w:rsid w:val="002A29CC"/>
    <w:rsid w:val="002A326B"/>
    <w:rsid w:val="002A4285"/>
    <w:rsid w:val="002A46B5"/>
    <w:rsid w:val="002A52F6"/>
    <w:rsid w:val="002A573D"/>
    <w:rsid w:val="002A594A"/>
    <w:rsid w:val="002A5967"/>
    <w:rsid w:val="002A637D"/>
    <w:rsid w:val="002A6AB1"/>
    <w:rsid w:val="002A70A9"/>
    <w:rsid w:val="002A72F9"/>
    <w:rsid w:val="002A7996"/>
    <w:rsid w:val="002A7F5C"/>
    <w:rsid w:val="002B051C"/>
    <w:rsid w:val="002B10AD"/>
    <w:rsid w:val="002B1A0B"/>
    <w:rsid w:val="002B20CB"/>
    <w:rsid w:val="002B2812"/>
    <w:rsid w:val="002B32C3"/>
    <w:rsid w:val="002B411E"/>
    <w:rsid w:val="002B5373"/>
    <w:rsid w:val="002B5819"/>
    <w:rsid w:val="002B5A6E"/>
    <w:rsid w:val="002B5A9C"/>
    <w:rsid w:val="002B659B"/>
    <w:rsid w:val="002B785F"/>
    <w:rsid w:val="002B7AC0"/>
    <w:rsid w:val="002B7FF0"/>
    <w:rsid w:val="002C047C"/>
    <w:rsid w:val="002C0C33"/>
    <w:rsid w:val="002C1524"/>
    <w:rsid w:val="002C3435"/>
    <w:rsid w:val="002C4073"/>
    <w:rsid w:val="002C43E3"/>
    <w:rsid w:val="002C6FBE"/>
    <w:rsid w:val="002C75AD"/>
    <w:rsid w:val="002C78D9"/>
    <w:rsid w:val="002C7AD5"/>
    <w:rsid w:val="002C7F08"/>
    <w:rsid w:val="002C7F5F"/>
    <w:rsid w:val="002D0281"/>
    <w:rsid w:val="002D035D"/>
    <w:rsid w:val="002D09A4"/>
    <w:rsid w:val="002D0C74"/>
    <w:rsid w:val="002D0EA6"/>
    <w:rsid w:val="002D139B"/>
    <w:rsid w:val="002D19C0"/>
    <w:rsid w:val="002D1C0A"/>
    <w:rsid w:val="002D2934"/>
    <w:rsid w:val="002D4AC8"/>
    <w:rsid w:val="002D4AE2"/>
    <w:rsid w:val="002D58A7"/>
    <w:rsid w:val="002D6487"/>
    <w:rsid w:val="002D66BE"/>
    <w:rsid w:val="002D6B46"/>
    <w:rsid w:val="002D6C72"/>
    <w:rsid w:val="002D6C86"/>
    <w:rsid w:val="002D721E"/>
    <w:rsid w:val="002D76BE"/>
    <w:rsid w:val="002D7792"/>
    <w:rsid w:val="002D7D2A"/>
    <w:rsid w:val="002E0419"/>
    <w:rsid w:val="002E0EFC"/>
    <w:rsid w:val="002E1F98"/>
    <w:rsid w:val="002E2127"/>
    <w:rsid w:val="002E2210"/>
    <w:rsid w:val="002E332A"/>
    <w:rsid w:val="002E338C"/>
    <w:rsid w:val="002E3D53"/>
    <w:rsid w:val="002E402A"/>
    <w:rsid w:val="002E530F"/>
    <w:rsid w:val="002E5505"/>
    <w:rsid w:val="002E56A9"/>
    <w:rsid w:val="002E5DC7"/>
    <w:rsid w:val="002E6AA7"/>
    <w:rsid w:val="002E6ACC"/>
    <w:rsid w:val="002E7503"/>
    <w:rsid w:val="002E7F8E"/>
    <w:rsid w:val="002F00FB"/>
    <w:rsid w:val="002F076A"/>
    <w:rsid w:val="002F0F0F"/>
    <w:rsid w:val="002F17B3"/>
    <w:rsid w:val="002F2648"/>
    <w:rsid w:val="002F26F4"/>
    <w:rsid w:val="002F2D4A"/>
    <w:rsid w:val="002F385D"/>
    <w:rsid w:val="002F3C50"/>
    <w:rsid w:val="002F3FC7"/>
    <w:rsid w:val="002F4072"/>
    <w:rsid w:val="002F5209"/>
    <w:rsid w:val="002F5A5A"/>
    <w:rsid w:val="002F65A5"/>
    <w:rsid w:val="002F756C"/>
    <w:rsid w:val="003014EE"/>
    <w:rsid w:val="00301C6C"/>
    <w:rsid w:val="00301CAD"/>
    <w:rsid w:val="00301FB9"/>
    <w:rsid w:val="003023DA"/>
    <w:rsid w:val="00302CF9"/>
    <w:rsid w:val="00302E4B"/>
    <w:rsid w:val="0030316A"/>
    <w:rsid w:val="0030382B"/>
    <w:rsid w:val="00303C75"/>
    <w:rsid w:val="00303EB8"/>
    <w:rsid w:val="0030497F"/>
    <w:rsid w:val="003054D0"/>
    <w:rsid w:val="0030628B"/>
    <w:rsid w:val="00306C7E"/>
    <w:rsid w:val="003072B5"/>
    <w:rsid w:val="003107D3"/>
    <w:rsid w:val="00310AE9"/>
    <w:rsid w:val="00310FCD"/>
    <w:rsid w:val="003113A6"/>
    <w:rsid w:val="0031157A"/>
    <w:rsid w:val="0031157B"/>
    <w:rsid w:val="00311634"/>
    <w:rsid w:val="00311C8B"/>
    <w:rsid w:val="00313170"/>
    <w:rsid w:val="00314299"/>
    <w:rsid w:val="0031469F"/>
    <w:rsid w:val="0031572B"/>
    <w:rsid w:val="003160F5"/>
    <w:rsid w:val="003162CB"/>
    <w:rsid w:val="00316BAC"/>
    <w:rsid w:val="00320B0E"/>
    <w:rsid w:val="00321258"/>
    <w:rsid w:val="0032170E"/>
    <w:rsid w:val="00321981"/>
    <w:rsid w:val="00321CEB"/>
    <w:rsid w:val="00322701"/>
    <w:rsid w:val="00323C6B"/>
    <w:rsid w:val="0032412C"/>
    <w:rsid w:val="003242FA"/>
    <w:rsid w:val="003244B5"/>
    <w:rsid w:val="00324BD0"/>
    <w:rsid w:val="00324CD9"/>
    <w:rsid w:val="00326069"/>
    <w:rsid w:val="003264EF"/>
    <w:rsid w:val="003269F1"/>
    <w:rsid w:val="0032736B"/>
    <w:rsid w:val="003277F9"/>
    <w:rsid w:val="00327F70"/>
    <w:rsid w:val="00330AA0"/>
    <w:rsid w:val="00330BD6"/>
    <w:rsid w:val="00330ED5"/>
    <w:rsid w:val="003310F7"/>
    <w:rsid w:val="00331435"/>
    <w:rsid w:val="00331A57"/>
    <w:rsid w:val="00332F5A"/>
    <w:rsid w:val="00332FAB"/>
    <w:rsid w:val="003331DB"/>
    <w:rsid w:val="00333E0F"/>
    <w:rsid w:val="00333E55"/>
    <w:rsid w:val="003340D7"/>
    <w:rsid w:val="00334825"/>
    <w:rsid w:val="00334F09"/>
    <w:rsid w:val="00335A54"/>
    <w:rsid w:val="00336966"/>
    <w:rsid w:val="00337969"/>
    <w:rsid w:val="00337F39"/>
    <w:rsid w:val="00340171"/>
    <w:rsid w:val="00340261"/>
    <w:rsid w:val="00340360"/>
    <w:rsid w:val="00340F3D"/>
    <w:rsid w:val="00341077"/>
    <w:rsid w:val="00341423"/>
    <w:rsid w:val="00342031"/>
    <w:rsid w:val="00342A7E"/>
    <w:rsid w:val="00344B1D"/>
    <w:rsid w:val="00344C3A"/>
    <w:rsid w:val="00344E4E"/>
    <w:rsid w:val="00344FF7"/>
    <w:rsid w:val="00345B4D"/>
    <w:rsid w:val="00345B62"/>
    <w:rsid w:val="003464CF"/>
    <w:rsid w:val="00346F98"/>
    <w:rsid w:val="00347E44"/>
    <w:rsid w:val="00347EE0"/>
    <w:rsid w:val="00352273"/>
    <w:rsid w:val="0035237D"/>
    <w:rsid w:val="00352AF4"/>
    <w:rsid w:val="00352E30"/>
    <w:rsid w:val="00353459"/>
    <w:rsid w:val="00356011"/>
    <w:rsid w:val="0035623C"/>
    <w:rsid w:val="003563B3"/>
    <w:rsid w:val="003605D8"/>
    <w:rsid w:val="003612F6"/>
    <w:rsid w:val="00362235"/>
    <w:rsid w:val="00362411"/>
    <w:rsid w:val="00362502"/>
    <w:rsid w:val="00363B2C"/>
    <w:rsid w:val="00363F96"/>
    <w:rsid w:val="00364887"/>
    <w:rsid w:val="00365AAC"/>
    <w:rsid w:val="00365F7F"/>
    <w:rsid w:val="00366677"/>
    <w:rsid w:val="00367FF2"/>
    <w:rsid w:val="003700C2"/>
    <w:rsid w:val="00370200"/>
    <w:rsid w:val="003706D5"/>
    <w:rsid w:val="00371251"/>
    <w:rsid w:val="003714FC"/>
    <w:rsid w:val="00371759"/>
    <w:rsid w:val="00371A75"/>
    <w:rsid w:val="0037212D"/>
    <w:rsid w:val="003721A6"/>
    <w:rsid w:val="003728CE"/>
    <w:rsid w:val="00373762"/>
    <w:rsid w:val="003744E3"/>
    <w:rsid w:val="00374776"/>
    <w:rsid w:val="00376627"/>
    <w:rsid w:val="00377232"/>
    <w:rsid w:val="0037773A"/>
    <w:rsid w:val="00377A81"/>
    <w:rsid w:val="00377FC2"/>
    <w:rsid w:val="00380032"/>
    <w:rsid w:val="00380331"/>
    <w:rsid w:val="00380FAA"/>
    <w:rsid w:val="0038150E"/>
    <w:rsid w:val="00381F57"/>
    <w:rsid w:val="00382ED1"/>
    <w:rsid w:val="0038335F"/>
    <w:rsid w:val="003834D8"/>
    <w:rsid w:val="003835AB"/>
    <w:rsid w:val="00384967"/>
    <w:rsid w:val="003857C3"/>
    <w:rsid w:val="003858AE"/>
    <w:rsid w:val="00386296"/>
    <w:rsid w:val="0038635E"/>
    <w:rsid w:val="0038648A"/>
    <w:rsid w:val="003864E1"/>
    <w:rsid w:val="003867C6"/>
    <w:rsid w:val="00390F06"/>
    <w:rsid w:val="003910A8"/>
    <w:rsid w:val="003912D7"/>
    <w:rsid w:val="00391A3A"/>
    <w:rsid w:val="00391FFC"/>
    <w:rsid w:val="003920AD"/>
    <w:rsid w:val="00392A30"/>
    <w:rsid w:val="00393361"/>
    <w:rsid w:val="00393B69"/>
    <w:rsid w:val="00395890"/>
    <w:rsid w:val="00395DC2"/>
    <w:rsid w:val="00396424"/>
    <w:rsid w:val="003966FD"/>
    <w:rsid w:val="00396734"/>
    <w:rsid w:val="00397099"/>
    <w:rsid w:val="00397987"/>
    <w:rsid w:val="003A038F"/>
    <w:rsid w:val="003A14EF"/>
    <w:rsid w:val="003A1A40"/>
    <w:rsid w:val="003A1AF9"/>
    <w:rsid w:val="003A1D4B"/>
    <w:rsid w:val="003A22FA"/>
    <w:rsid w:val="003A2E02"/>
    <w:rsid w:val="003A4206"/>
    <w:rsid w:val="003A47D3"/>
    <w:rsid w:val="003A4DBF"/>
    <w:rsid w:val="003A7CCE"/>
    <w:rsid w:val="003B0027"/>
    <w:rsid w:val="003B01CA"/>
    <w:rsid w:val="003B0BA5"/>
    <w:rsid w:val="003B1219"/>
    <w:rsid w:val="003B1998"/>
    <w:rsid w:val="003B3C76"/>
    <w:rsid w:val="003B421E"/>
    <w:rsid w:val="003B5E9D"/>
    <w:rsid w:val="003B608A"/>
    <w:rsid w:val="003B6604"/>
    <w:rsid w:val="003B6853"/>
    <w:rsid w:val="003B69FA"/>
    <w:rsid w:val="003B77C2"/>
    <w:rsid w:val="003C03CF"/>
    <w:rsid w:val="003C0471"/>
    <w:rsid w:val="003C04B1"/>
    <w:rsid w:val="003C0E9A"/>
    <w:rsid w:val="003C2DD7"/>
    <w:rsid w:val="003C3F16"/>
    <w:rsid w:val="003C4000"/>
    <w:rsid w:val="003C4758"/>
    <w:rsid w:val="003C4F87"/>
    <w:rsid w:val="003C5C44"/>
    <w:rsid w:val="003C6923"/>
    <w:rsid w:val="003C6F24"/>
    <w:rsid w:val="003C7322"/>
    <w:rsid w:val="003C7984"/>
    <w:rsid w:val="003D03BB"/>
    <w:rsid w:val="003D08EC"/>
    <w:rsid w:val="003D1429"/>
    <w:rsid w:val="003D199F"/>
    <w:rsid w:val="003D1AEC"/>
    <w:rsid w:val="003D2239"/>
    <w:rsid w:val="003D2244"/>
    <w:rsid w:val="003D3440"/>
    <w:rsid w:val="003D3F35"/>
    <w:rsid w:val="003D4344"/>
    <w:rsid w:val="003D4B3B"/>
    <w:rsid w:val="003D4E9E"/>
    <w:rsid w:val="003D5A16"/>
    <w:rsid w:val="003D6162"/>
    <w:rsid w:val="003D62DB"/>
    <w:rsid w:val="003D63F6"/>
    <w:rsid w:val="003D707C"/>
    <w:rsid w:val="003D7205"/>
    <w:rsid w:val="003E064C"/>
    <w:rsid w:val="003E0FED"/>
    <w:rsid w:val="003E1845"/>
    <w:rsid w:val="003E1B58"/>
    <w:rsid w:val="003E3080"/>
    <w:rsid w:val="003E4049"/>
    <w:rsid w:val="003E41A6"/>
    <w:rsid w:val="003E4644"/>
    <w:rsid w:val="003E5257"/>
    <w:rsid w:val="003E5981"/>
    <w:rsid w:val="003E5E41"/>
    <w:rsid w:val="003E65A9"/>
    <w:rsid w:val="003E6D6C"/>
    <w:rsid w:val="003E76A1"/>
    <w:rsid w:val="003F08E4"/>
    <w:rsid w:val="003F0F96"/>
    <w:rsid w:val="003F225A"/>
    <w:rsid w:val="003F2CFF"/>
    <w:rsid w:val="003F492E"/>
    <w:rsid w:val="003F4CD5"/>
    <w:rsid w:val="003F5C51"/>
    <w:rsid w:val="003F6B3C"/>
    <w:rsid w:val="003F6F74"/>
    <w:rsid w:val="003F7241"/>
    <w:rsid w:val="003F74B3"/>
    <w:rsid w:val="004003F9"/>
    <w:rsid w:val="00400BB3"/>
    <w:rsid w:val="0040187D"/>
    <w:rsid w:val="00402A16"/>
    <w:rsid w:val="00403139"/>
    <w:rsid w:val="00403C3D"/>
    <w:rsid w:val="004055D2"/>
    <w:rsid w:val="0040596C"/>
    <w:rsid w:val="004059EB"/>
    <w:rsid w:val="00405DD5"/>
    <w:rsid w:val="0040624C"/>
    <w:rsid w:val="0040655C"/>
    <w:rsid w:val="00407264"/>
    <w:rsid w:val="00407645"/>
    <w:rsid w:val="00407FB6"/>
    <w:rsid w:val="00411837"/>
    <w:rsid w:val="00411C22"/>
    <w:rsid w:val="00412765"/>
    <w:rsid w:val="0041299C"/>
    <w:rsid w:val="0041503F"/>
    <w:rsid w:val="004156D0"/>
    <w:rsid w:val="00415CAF"/>
    <w:rsid w:val="00416693"/>
    <w:rsid w:val="00416847"/>
    <w:rsid w:val="00417AE5"/>
    <w:rsid w:val="00417EFE"/>
    <w:rsid w:val="00417FE1"/>
    <w:rsid w:val="0042202E"/>
    <w:rsid w:val="00423CDD"/>
    <w:rsid w:val="004249EA"/>
    <w:rsid w:val="00425293"/>
    <w:rsid w:val="00425302"/>
    <w:rsid w:val="00425506"/>
    <w:rsid w:val="004256B6"/>
    <w:rsid w:val="00425B07"/>
    <w:rsid w:val="0042636E"/>
    <w:rsid w:val="004266A7"/>
    <w:rsid w:val="00427260"/>
    <w:rsid w:val="00427729"/>
    <w:rsid w:val="00430468"/>
    <w:rsid w:val="00430774"/>
    <w:rsid w:val="00431679"/>
    <w:rsid w:val="00431B71"/>
    <w:rsid w:val="00431F1C"/>
    <w:rsid w:val="0043209D"/>
    <w:rsid w:val="0043258B"/>
    <w:rsid w:val="00432F64"/>
    <w:rsid w:val="004331CD"/>
    <w:rsid w:val="00433237"/>
    <w:rsid w:val="0043379B"/>
    <w:rsid w:val="004337ED"/>
    <w:rsid w:val="004346B2"/>
    <w:rsid w:val="00434C2F"/>
    <w:rsid w:val="004368C9"/>
    <w:rsid w:val="004369BB"/>
    <w:rsid w:val="00436BC0"/>
    <w:rsid w:val="0043727E"/>
    <w:rsid w:val="004379FE"/>
    <w:rsid w:val="00440159"/>
    <w:rsid w:val="00440E1E"/>
    <w:rsid w:val="004410A7"/>
    <w:rsid w:val="0044132B"/>
    <w:rsid w:val="00441B9F"/>
    <w:rsid w:val="00441D10"/>
    <w:rsid w:val="0044337D"/>
    <w:rsid w:val="00443B33"/>
    <w:rsid w:val="0044593A"/>
    <w:rsid w:val="00446239"/>
    <w:rsid w:val="00446663"/>
    <w:rsid w:val="00446DBB"/>
    <w:rsid w:val="004500F7"/>
    <w:rsid w:val="00450684"/>
    <w:rsid w:val="00451093"/>
    <w:rsid w:val="0045157C"/>
    <w:rsid w:val="00451E93"/>
    <w:rsid w:val="00452E3D"/>
    <w:rsid w:val="00453918"/>
    <w:rsid w:val="00453FF5"/>
    <w:rsid w:val="00454517"/>
    <w:rsid w:val="00456216"/>
    <w:rsid w:val="00456340"/>
    <w:rsid w:val="004566FC"/>
    <w:rsid w:val="0045673A"/>
    <w:rsid w:val="00456DD9"/>
    <w:rsid w:val="0045722F"/>
    <w:rsid w:val="00460721"/>
    <w:rsid w:val="00460826"/>
    <w:rsid w:val="00460C6F"/>
    <w:rsid w:val="0046281F"/>
    <w:rsid w:val="00462CFF"/>
    <w:rsid w:val="00463643"/>
    <w:rsid w:val="004640E7"/>
    <w:rsid w:val="004640ED"/>
    <w:rsid w:val="00464756"/>
    <w:rsid w:val="00464FD7"/>
    <w:rsid w:val="004650EA"/>
    <w:rsid w:val="0046579B"/>
    <w:rsid w:val="0046698C"/>
    <w:rsid w:val="00466F58"/>
    <w:rsid w:val="0046721E"/>
    <w:rsid w:val="00467705"/>
    <w:rsid w:val="00467A7D"/>
    <w:rsid w:val="00467AB4"/>
    <w:rsid w:val="00467F47"/>
    <w:rsid w:val="00470383"/>
    <w:rsid w:val="0047042C"/>
    <w:rsid w:val="00470984"/>
    <w:rsid w:val="0047121A"/>
    <w:rsid w:val="0047123A"/>
    <w:rsid w:val="004712C8"/>
    <w:rsid w:val="0047219A"/>
    <w:rsid w:val="004726C8"/>
    <w:rsid w:val="004726FC"/>
    <w:rsid w:val="00473120"/>
    <w:rsid w:val="00473B68"/>
    <w:rsid w:val="00473EA5"/>
    <w:rsid w:val="00474604"/>
    <w:rsid w:val="00474A05"/>
    <w:rsid w:val="00474A92"/>
    <w:rsid w:val="00474F9A"/>
    <w:rsid w:val="004777EF"/>
    <w:rsid w:val="00480B66"/>
    <w:rsid w:val="00481CEC"/>
    <w:rsid w:val="0048307D"/>
    <w:rsid w:val="004831A3"/>
    <w:rsid w:val="004834F6"/>
    <w:rsid w:val="004835A0"/>
    <w:rsid w:val="00483C32"/>
    <w:rsid w:val="00483FA1"/>
    <w:rsid w:val="00484371"/>
    <w:rsid w:val="0048481B"/>
    <w:rsid w:val="004859D7"/>
    <w:rsid w:val="00486051"/>
    <w:rsid w:val="004864F7"/>
    <w:rsid w:val="004874BE"/>
    <w:rsid w:val="004902D0"/>
    <w:rsid w:val="00490835"/>
    <w:rsid w:val="00490856"/>
    <w:rsid w:val="004916B6"/>
    <w:rsid w:val="00492178"/>
    <w:rsid w:val="004922CB"/>
    <w:rsid w:val="00493B90"/>
    <w:rsid w:val="00495C77"/>
    <w:rsid w:val="00496033"/>
    <w:rsid w:val="00496982"/>
    <w:rsid w:val="004969BC"/>
    <w:rsid w:val="00496D5B"/>
    <w:rsid w:val="004976A8"/>
    <w:rsid w:val="00497BF9"/>
    <w:rsid w:val="004A0E91"/>
    <w:rsid w:val="004A15AC"/>
    <w:rsid w:val="004A376B"/>
    <w:rsid w:val="004A523C"/>
    <w:rsid w:val="004A62AC"/>
    <w:rsid w:val="004A66C3"/>
    <w:rsid w:val="004A771B"/>
    <w:rsid w:val="004A791E"/>
    <w:rsid w:val="004B0269"/>
    <w:rsid w:val="004B332C"/>
    <w:rsid w:val="004B39DE"/>
    <w:rsid w:val="004B400D"/>
    <w:rsid w:val="004B42B8"/>
    <w:rsid w:val="004B4857"/>
    <w:rsid w:val="004B485D"/>
    <w:rsid w:val="004B4B2C"/>
    <w:rsid w:val="004B55D2"/>
    <w:rsid w:val="004B592A"/>
    <w:rsid w:val="004B5DAB"/>
    <w:rsid w:val="004B6438"/>
    <w:rsid w:val="004B6CA1"/>
    <w:rsid w:val="004B6F01"/>
    <w:rsid w:val="004B70DE"/>
    <w:rsid w:val="004B73E0"/>
    <w:rsid w:val="004B75C8"/>
    <w:rsid w:val="004B76A3"/>
    <w:rsid w:val="004B7CA7"/>
    <w:rsid w:val="004B7EB5"/>
    <w:rsid w:val="004C0464"/>
    <w:rsid w:val="004C168B"/>
    <w:rsid w:val="004C1B9E"/>
    <w:rsid w:val="004C298F"/>
    <w:rsid w:val="004C2CF7"/>
    <w:rsid w:val="004C2FA6"/>
    <w:rsid w:val="004C45CE"/>
    <w:rsid w:val="004C4A3C"/>
    <w:rsid w:val="004C4AF6"/>
    <w:rsid w:val="004C5C14"/>
    <w:rsid w:val="004C5C9B"/>
    <w:rsid w:val="004C5D88"/>
    <w:rsid w:val="004C5F8B"/>
    <w:rsid w:val="004C6B9A"/>
    <w:rsid w:val="004C770E"/>
    <w:rsid w:val="004D02BD"/>
    <w:rsid w:val="004D2417"/>
    <w:rsid w:val="004D2DBD"/>
    <w:rsid w:val="004D33B5"/>
    <w:rsid w:val="004D4442"/>
    <w:rsid w:val="004D4721"/>
    <w:rsid w:val="004D4D0B"/>
    <w:rsid w:val="004D5838"/>
    <w:rsid w:val="004D613C"/>
    <w:rsid w:val="004D61C3"/>
    <w:rsid w:val="004D6F2B"/>
    <w:rsid w:val="004D7930"/>
    <w:rsid w:val="004D7A4F"/>
    <w:rsid w:val="004E0F2B"/>
    <w:rsid w:val="004E103B"/>
    <w:rsid w:val="004E176B"/>
    <w:rsid w:val="004E2975"/>
    <w:rsid w:val="004E2B24"/>
    <w:rsid w:val="004E386D"/>
    <w:rsid w:val="004E3A33"/>
    <w:rsid w:val="004E40C1"/>
    <w:rsid w:val="004E426F"/>
    <w:rsid w:val="004E61D3"/>
    <w:rsid w:val="004E6E97"/>
    <w:rsid w:val="004E70E1"/>
    <w:rsid w:val="004F0601"/>
    <w:rsid w:val="004F09FD"/>
    <w:rsid w:val="004F2230"/>
    <w:rsid w:val="004F2845"/>
    <w:rsid w:val="004F2BBC"/>
    <w:rsid w:val="004F2EF2"/>
    <w:rsid w:val="004F32B1"/>
    <w:rsid w:val="004F45E5"/>
    <w:rsid w:val="004F4A3E"/>
    <w:rsid w:val="004F60CE"/>
    <w:rsid w:val="004F6A7F"/>
    <w:rsid w:val="004F6EAD"/>
    <w:rsid w:val="004F6EEE"/>
    <w:rsid w:val="004F723E"/>
    <w:rsid w:val="00500865"/>
    <w:rsid w:val="00501A15"/>
    <w:rsid w:val="0050462D"/>
    <w:rsid w:val="00504770"/>
    <w:rsid w:val="0050498D"/>
    <w:rsid w:val="00504E46"/>
    <w:rsid w:val="005050F5"/>
    <w:rsid w:val="00505450"/>
    <w:rsid w:val="00505952"/>
    <w:rsid w:val="00505C68"/>
    <w:rsid w:val="00505DB3"/>
    <w:rsid w:val="005063F4"/>
    <w:rsid w:val="00506D07"/>
    <w:rsid w:val="0051067A"/>
    <w:rsid w:val="00511052"/>
    <w:rsid w:val="00511309"/>
    <w:rsid w:val="00511471"/>
    <w:rsid w:val="00512943"/>
    <w:rsid w:val="00512BD4"/>
    <w:rsid w:val="005130A3"/>
    <w:rsid w:val="005133D5"/>
    <w:rsid w:val="005144E4"/>
    <w:rsid w:val="00515EA9"/>
    <w:rsid w:val="00515FC4"/>
    <w:rsid w:val="00516300"/>
    <w:rsid w:val="00516469"/>
    <w:rsid w:val="00517726"/>
    <w:rsid w:val="005214E1"/>
    <w:rsid w:val="00521878"/>
    <w:rsid w:val="005231F9"/>
    <w:rsid w:val="00523675"/>
    <w:rsid w:val="0052385F"/>
    <w:rsid w:val="0052439F"/>
    <w:rsid w:val="00524872"/>
    <w:rsid w:val="005256E1"/>
    <w:rsid w:val="00526E34"/>
    <w:rsid w:val="0052769B"/>
    <w:rsid w:val="00527B8F"/>
    <w:rsid w:val="00527FEA"/>
    <w:rsid w:val="005311E8"/>
    <w:rsid w:val="0053342B"/>
    <w:rsid w:val="00533F66"/>
    <w:rsid w:val="005343C4"/>
    <w:rsid w:val="00534606"/>
    <w:rsid w:val="00535343"/>
    <w:rsid w:val="00535548"/>
    <w:rsid w:val="005366CB"/>
    <w:rsid w:val="005376BA"/>
    <w:rsid w:val="005376EC"/>
    <w:rsid w:val="00540DE7"/>
    <w:rsid w:val="005411A4"/>
    <w:rsid w:val="0054154C"/>
    <w:rsid w:val="00542406"/>
    <w:rsid w:val="00542BF4"/>
    <w:rsid w:val="00542D31"/>
    <w:rsid w:val="00542FF0"/>
    <w:rsid w:val="005434FF"/>
    <w:rsid w:val="0054473B"/>
    <w:rsid w:val="00544B49"/>
    <w:rsid w:val="00544BFA"/>
    <w:rsid w:val="0054578C"/>
    <w:rsid w:val="0054579D"/>
    <w:rsid w:val="00545FF6"/>
    <w:rsid w:val="005467F9"/>
    <w:rsid w:val="00547451"/>
    <w:rsid w:val="0054758D"/>
    <w:rsid w:val="00547CCA"/>
    <w:rsid w:val="00550805"/>
    <w:rsid w:val="00550EC5"/>
    <w:rsid w:val="0055109F"/>
    <w:rsid w:val="0055248F"/>
    <w:rsid w:val="005526F6"/>
    <w:rsid w:val="0055297A"/>
    <w:rsid w:val="00553AF1"/>
    <w:rsid w:val="00554733"/>
    <w:rsid w:val="005551BC"/>
    <w:rsid w:val="005554EB"/>
    <w:rsid w:val="005555C9"/>
    <w:rsid w:val="00555F7E"/>
    <w:rsid w:val="00556C10"/>
    <w:rsid w:val="00556F0A"/>
    <w:rsid w:val="005572BB"/>
    <w:rsid w:val="0056031E"/>
    <w:rsid w:val="005605E4"/>
    <w:rsid w:val="005606D7"/>
    <w:rsid w:val="00560DD0"/>
    <w:rsid w:val="00561221"/>
    <w:rsid w:val="00561BA0"/>
    <w:rsid w:val="00561CA3"/>
    <w:rsid w:val="0056217C"/>
    <w:rsid w:val="00562BF1"/>
    <w:rsid w:val="00562F35"/>
    <w:rsid w:val="00563415"/>
    <w:rsid w:val="005635DF"/>
    <w:rsid w:val="0056411C"/>
    <w:rsid w:val="00564169"/>
    <w:rsid w:val="005641C4"/>
    <w:rsid w:val="005646B7"/>
    <w:rsid w:val="0056496F"/>
    <w:rsid w:val="00564A58"/>
    <w:rsid w:val="00564EC5"/>
    <w:rsid w:val="005657C2"/>
    <w:rsid w:val="00567375"/>
    <w:rsid w:val="0056799D"/>
    <w:rsid w:val="00567C78"/>
    <w:rsid w:val="00567EB7"/>
    <w:rsid w:val="0057036F"/>
    <w:rsid w:val="0057071A"/>
    <w:rsid w:val="00573150"/>
    <w:rsid w:val="005733C5"/>
    <w:rsid w:val="005738BA"/>
    <w:rsid w:val="00573BAD"/>
    <w:rsid w:val="0057463D"/>
    <w:rsid w:val="00574A42"/>
    <w:rsid w:val="00574E29"/>
    <w:rsid w:val="005750A5"/>
    <w:rsid w:val="00575625"/>
    <w:rsid w:val="0057782C"/>
    <w:rsid w:val="00580210"/>
    <w:rsid w:val="00580526"/>
    <w:rsid w:val="00580D40"/>
    <w:rsid w:val="00580DBE"/>
    <w:rsid w:val="00580F5D"/>
    <w:rsid w:val="0058232B"/>
    <w:rsid w:val="00582379"/>
    <w:rsid w:val="00583411"/>
    <w:rsid w:val="0058482B"/>
    <w:rsid w:val="00585282"/>
    <w:rsid w:val="005860AC"/>
    <w:rsid w:val="00586179"/>
    <w:rsid w:val="0058796C"/>
    <w:rsid w:val="005910E6"/>
    <w:rsid w:val="00591338"/>
    <w:rsid w:val="005918F6"/>
    <w:rsid w:val="00592A81"/>
    <w:rsid w:val="00592FD3"/>
    <w:rsid w:val="0059309C"/>
    <w:rsid w:val="00594168"/>
    <w:rsid w:val="005942F4"/>
    <w:rsid w:val="005954B4"/>
    <w:rsid w:val="00595703"/>
    <w:rsid w:val="00595A5D"/>
    <w:rsid w:val="00596416"/>
    <w:rsid w:val="00596D07"/>
    <w:rsid w:val="00597BFA"/>
    <w:rsid w:val="00597EBC"/>
    <w:rsid w:val="005A0F5E"/>
    <w:rsid w:val="005A134A"/>
    <w:rsid w:val="005A1638"/>
    <w:rsid w:val="005A18E1"/>
    <w:rsid w:val="005A1A87"/>
    <w:rsid w:val="005A2681"/>
    <w:rsid w:val="005A2C19"/>
    <w:rsid w:val="005A310D"/>
    <w:rsid w:val="005A3448"/>
    <w:rsid w:val="005A3574"/>
    <w:rsid w:val="005A35F9"/>
    <w:rsid w:val="005A3A62"/>
    <w:rsid w:val="005A4800"/>
    <w:rsid w:val="005A536B"/>
    <w:rsid w:val="005A598D"/>
    <w:rsid w:val="005A5FCA"/>
    <w:rsid w:val="005A6D61"/>
    <w:rsid w:val="005A6DF1"/>
    <w:rsid w:val="005A7B5C"/>
    <w:rsid w:val="005B08A8"/>
    <w:rsid w:val="005B12C8"/>
    <w:rsid w:val="005B1CC0"/>
    <w:rsid w:val="005B2D40"/>
    <w:rsid w:val="005B3027"/>
    <w:rsid w:val="005B3244"/>
    <w:rsid w:val="005B3E20"/>
    <w:rsid w:val="005B4102"/>
    <w:rsid w:val="005B41DB"/>
    <w:rsid w:val="005B446F"/>
    <w:rsid w:val="005B44F4"/>
    <w:rsid w:val="005B689F"/>
    <w:rsid w:val="005C088F"/>
    <w:rsid w:val="005C139E"/>
    <w:rsid w:val="005C1C1D"/>
    <w:rsid w:val="005C3981"/>
    <w:rsid w:val="005C3FE9"/>
    <w:rsid w:val="005C42C4"/>
    <w:rsid w:val="005C4491"/>
    <w:rsid w:val="005C49EC"/>
    <w:rsid w:val="005C639E"/>
    <w:rsid w:val="005C6A5C"/>
    <w:rsid w:val="005C7FD3"/>
    <w:rsid w:val="005D1B90"/>
    <w:rsid w:val="005D2FFE"/>
    <w:rsid w:val="005D3731"/>
    <w:rsid w:val="005D39A1"/>
    <w:rsid w:val="005D39E0"/>
    <w:rsid w:val="005D44BE"/>
    <w:rsid w:val="005D5080"/>
    <w:rsid w:val="005D5B22"/>
    <w:rsid w:val="005D668A"/>
    <w:rsid w:val="005D7114"/>
    <w:rsid w:val="005D7177"/>
    <w:rsid w:val="005D742E"/>
    <w:rsid w:val="005D7535"/>
    <w:rsid w:val="005E0078"/>
    <w:rsid w:val="005E032B"/>
    <w:rsid w:val="005E0488"/>
    <w:rsid w:val="005E048B"/>
    <w:rsid w:val="005E0B5E"/>
    <w:rsid w:val="005E0F21"/>
    <w:rsid w:val="005E1C4E"/>
    <w:rsid w:val="005E273F"/>
    <w:rsid w:val="005E3343"/>
    <w:rsid w:val="005E35D2"/>
    <w:rsid w:val="005E3B9F"/>
    <w:rsid w:val="005E3FF9"/>
    <w:rsid w:val="005E4156"/>
    <w:rsid w:val="005E435D"/>
    <w:rsid w:val="005E45CB"/>
    <w:rsid w:val="005E45F6"/>
    <w:rsid w:val="005E495A"/>
    <w:rsid w:val="005E49A8"/>
    <w:rsid w:val="005E5306"/>
    <w:rsid w:val="005E5D98"/>
    <w:rsid w:val="005E79E0"/>
    <w:rsid w:val="005F0528"/>
    <w:rsid w:val="005F0F9A"/>
    <w:rsid w:val="005F10D1"/>
    <w:rsid w:val="005F1959"/>
    <w:rsid w:val="005F2A95"/>
    <w:rsid w:val="005F40D5"/>
    <w:rsid w:val="005F4EBE"/>
    <w:rsid w:val="005F4FAA"/>
    <w:rsid w:val="005F52EC"/>
    <w:rsid w:val="005F5823"/>
    <w:rsid w:val="005F7E15"/>
    <w:rsid w:val="006004AC"/>
    <w:rsid w:val="00600FE8"/>
    <w:rsid w:val="00602368"/>
    <w:rsid w:val="00602858"/>
    <w:rsid w:val="00602B58"/>
    <w:rsid w:val="00603118"/>
    <w:rsid w:val="0060353B"/>
    <w:rsid w:val="006035C1"/>
    <w:rsid w:val="00603B7A"/>
    <w:rsid w:val="00604119"/>
    <w:rsid w:val="006047ED"/>
    <w:rsid w:val="006051B6"/>
    <w:rsid w:val="006054CE"/>
    <w:rsid w:val="006059D0"/>
    <w:rsid w:val="00605EAC"/>
    <w:rsid w:val="00606A80"/>
    <w:rsid w:val="00607D8B"/>
    <w:rsid w:val="00607F06"/>
    <w:rsid w:val="00611208"/>
    <w:rsid w:val="00611A08"/>
    <w:rsid w:val="00612EAE"/>
    <w:rsid w:val="00613E07"/>
    <w:rsid w:val="00613EB5"/>
    <w:rsid w:val="00614F61"/>
    <w:rsid w:val="00615C44"/>
    <w:rsid w:val="00616069"/>
    <w:rsid w:val="00616AD5"/>
    <w:rsid w:val="00617674"/>
    <w:rsid w:val="00621BBD"/>
    <w:rsid w:val="00621DD6"/>
    <w:rsid w:val="00623209"/>
    <w:rsid w:val="00624084"/>
    <w:rsid w:val="006245FE"/>
    <w:rsid w:val="00625639"/>
    <w:rsid w:val="00625753"/>
    <w:rsid w:val="00626649"/>
    <w:rsid w:val="00627AA7"/>
    <w:rsid w:val="00627B52"/>
    <w:rsid w:val="006300C0"/>
    <w:rsid w:val="006303E4"/>
    <w:rsid w:val="0063072C"/>
    <w:rsid w:val="006308C8"/>
    <w:rsid w:val="00630FB4"/>
    <w:rsid w:val="006310DB"/>
    <w:rsid w:val="0063115C"/>
    <w:rsid w:val="00631E1E"/>
    <w:rsid w:val="006320B7"/>
    <w:rsid w:val="00632780"/>
    <w:rsid w:val="00632843"/>
    <w:rsid w:val="00633903"/>
    <w:rsid w:val="00634278"/>
    <w:rsid w:val="006352F6"/>
    <w:rsid w:val="00635C95"/>
    <w:rsid w:val="0063664F"/>
    <w:rsid w:val="00636D05"/>
    <w:rsid w:val="00637899"/>
    <w:rsid w:val="00640E68"/>
    <w:rsid w:val="00640FB1"/>
    <w:rsid w:val="00642E45"/>
    <w:rsid w:val="006439F1"/>
    <w:rsid w:val="006444EC"/>
    <w:rsid w:val="00645C20"/>
    <w:rsid w:val="00645EBA"/>
    <w:rsid w:val="00646705"/>
    <w:rsid w:val="006467D5"/>
    <w:rsid w:val="00646C4A"/>
    <w:rsid w:val="00647140"/>
    <w:rsid w:val="0064732E"/>
    <w:rsid w:val="0064742E"/>
    <w:rsid w:val="006478A3"/>
    <w:rsid w:val="00650B30"/>
    <w:rsid w:val="00650C62"/>
    <w:rsid w:val="00650EEF"/>
    <w:rsid w:val="006514E9"/>
    <w:rsid w:val="006515DC"/>
    <w:rsid w:val="006518BA"/>
    <w:rsid w:val="00651E33"/>
    <w:rsid w:val="006526B9"/>
    <w:rsid w:val="00652D4A"/>
    <w:rsid w:val="00652DB1"/>
    <w:rsid w:val="00652FD8"/>
    <w:rsid w:val="0065363C"/>
    <w:rsid w:val="00653B93"/>
    <w:rsid w:val="00653D9D"/>
    <w:rsid w:val="0065465E"/>
    <w:rsid w:val="00654F39"/>
    <w:rsid w:val="00654F87"/>
    <w:rsid w:val="006550D9"/>
    <w:rsid w:val="00655CB3"/>
    <w:rsid w:val="006561C3"/>
    <w:rsid w:val="006569A2"/>
    <w:rsid w:val="0066080B"/>
    <w:rsid w:val="00662814"/>
    <w:rsid w:val="00663454"/>
    <w:rsid w:val="0066383B"/>
    <w:rsid w:val="0066427F"/>
    <w:rsid w:val="00664627"/>
    <w:rsid w:val="00665A99"/>
    <w:rsid w:val="00665F20"/>
    <w:rsid w:val="006667E2"/>
    <w:rsid w:val="00666EAC"/>
    <w:rsid w:val="00667742"/>
    <w:rsid w:val="0067007F"/>
    <w:rsid w:val="00670FE9"/>
    <w:rsid w:val="006712EC"/>
    <w:rsid w:val="006717F1"/>
    <w:rsid w:val="00671965"/>
    <w:rsid w:val="006719D5"/>
    <w:rsid w:val="0067221A"/>
    <w:rsid w:val="00672976"/>
    <w:rsid w:val="00673335"/>
    <w:rsid w:val="006742A0"/>
    <w:rsid w:val="006745E6"/>
    <w:rsid w:val="00674E0D"/>
    <w:rsid w:val="00674E9F"/>
    <w:rsid w:val="006751A2"/>
    <w:rsid w:val="006768F2"/>
    <w:rsid w:val="0068008E"/>
    <w:rsid w:val="00681E2E"/>
    <w:rsid w:val="00683585"/>
    <w:rsid w:val="00684D1D"/>
    <w:rsid w:val="00684E2C"/>
    <w:rsid w:val="006850F5"/>
    <w:rsid w:val="006858DC"/>
    <w:rsid w:val="00685CB9"/>
    <w:rsid w:val="00685D8F"/>
    <w:rsid w:val="00686605"/>
    <w:rsid w:val="00686D5E"/>
    <w:rsid w:val="00687F1B"/>
    <w:rsid w:val="00690320"/>
    <w:rsid w:val="006909A7"/>
    <w:rsid w:val="006921FE"/>
    <w:rsid w:val="00692869"/>
    <w:rsid w:val="00693347"/>
    <w:rsid w:val="006942E3"/>
    <w:rsid w:val="006947FC"/>
    <w:rsid w:val="00694848"/>
    <w:rsid w:val="00695830"/>
    <w:rsid w:val="00696A6B"/>
    <w:rsid w:val="00696E44"/>
    <w:rsid w:val="00697BB7"/>
    <w:rsid w:val="006A06FE"/>
    <w:rsid w:val="006A0F07"/>
    <w:rsid w:val="006A1F3C"/>
    <w:rsid w:val="006A4397"/>
    <w:rsid w:val="006A4D22"/>
    <w:rsid w:val="006A7F8B"/>
    <w:rsid w:val="006B1B65"/>
    <w:rsid w:val="006B1BBC"/>
    <w:rsid w:val="006B1D1C"/>
    <w:rsid w:val="006B2127"/>
    <w:rsid w:val="006B2622"/>
    <w:rsid w:val="006B2998"/>
    <w:rsid w:val="006B2E7A"/>
    <w:rsid w:val="006B322D"/>
    <w:rsid w:val="006B33F6"/>
    <w:rsid w:val="006B3998"/>
    <w:rsid w:val="006B452C"/>
    <w:rsid w:val="006B4DF7"/>
    <w:rsid w:val="006B5D63"/>
    <w:rsid w:val="006B5FC3"/>
    <w:rsid w:val="006B6A67"/>
    <w:rsid w:val="006B6B49"/>
    <w:rsid w:val="006B73AB"/>
    <w:rsid w:val="006B767C"/>
    <w:rsid w:val="006C162B"/>
    <w:rsid w:val="006C29C6"/>
    <w:rsid w:val="006C3484"/>
    <w:rsid w:val="006C3553"/>
    <w:rsid w:val="006C395A"/>
    <w:rsid w:val="006C3F81"/>
    <w:rsid w:val="006C455C"/>
    <w:rsid w:val="006C50E6"/>
    <w:rsid w:val="006C542D"/>
    <w:rsid w:val="006C69D6"/>
    <w:rsid w:val="006C6B10"/>
    <w:rsid w:val="006C72CB"/>
    <w:rsid w:val="006C7431"/>
    <w:rsid w:val="006C78BE"/>
    <w:rsid w:val="006C7C96"/>
    <w:rsid w:val="006D281D"/>
    <w:rsid w:val="006D31EC"/>
    <w:rsid w:val="006D324C"/>
    <w:rsid w:val="006D348C"/>
    <w:rsid w:val="006D39EB"/>
    <w:rsid w:val="006D3B6F"/>
    <w:rsid w:val="006D5B33"/>
    <w:rsid w:val="006D6EBA"/>
    <w:rsid w:val="006D7085"/>
    <w:rsid w:val="006D795E"/>
    <w:rsid w:val="006D7EFE"/>
    <w:rsid w:val="006E028B"/>
    <w:rsid w:val="006E0622"/>
    <w:rsid w:val="006E0D79"/>
    <w:rsid w:val="006E2377"/>
    <w:rsid w:val="006E2802"/>
    <w:rsid w:val="006E300C"/>
    <w:rsid w:val="006E35DB"/>
    <w:rsid w:val="006E39ED"/>
    <w:rsid w:val="006E435A"/>
    <w:rsid w:val="006E5DCA"/>
    <w:rsid w:val="006E6641"/>
    <w:rsid w:val="006E75C4"/>
    <w:rsid w:val="006E78E3"/>
    <w:rsid w:val="006F13D6"/>
    <w:rsid w:val="006F18A1"/>
    <w:rsid w:val="006F1D11"/>
    <w:rsid w:val="006F2FF3"/>
    <w:rsid w:val="006F374C"/>
    <w:rsid w:val="006F3DC6"/>
    <w:rsid w:val="006F4CC9"/>
    <w:rsid w:val="006F7617"/>
    <w:rsid w:val="006F7DCF"/>
    <w:rsid w:val="006F7DEF"/>
    <w:rsid w:val="00700801"/>
    <w:rsid w:val="007021EF"/>
    <w:rsid w:val="0070289C"/>
    <w:rsid w:val="0070303E"/>
    <w:rsid w:val="0070362E"/>
    <w:rsid w:val="00703E63"/>
    <w:rsid w:val="00704F0E"/>
    <w:rsid w:val="00705046"/>
    <w:rsid w:val="0070527C"/>
    <w:rsid w:val="0070529A"/>
    <w:rsid w:val="00705425"/>
    <w:rsid w:val="00705BC2"/>
    <w:rsid w:val="0070621F"/>
    <w:rsid w:val="00706328"/>
    <w:rsid w:val="00706441"/>
    <w:rsid w:val="007064AB"/>
    <w:rsid w:val="00706BBE"/>
    <w:rsid w:val="007071FE"/>
    <w:rsid w:val="0070785D"/>
    <w:rsid w:val="00707876"/>
    <w:rsid w:val="00707A23"/>
    <w:rsid w:val="00710877"/>
    <w:rsid w:val="00710DAC"/>
    <w:rsid w:val="00710EEA"/>
    <w:rsid w:val="0071154B"/>
    <w:rsid w:val="00711B9D"/>
    <w:rsid w:val="0071218F"/>
    <w:rsid w:val="00712B74"/>
    <w:rsid w:val="00712E66"/>
    <w:rsid w:val="00712F91"/>
    <w:rsid w:val="007141B0"/>
    <w:rsid w:val="00714A8E"/>
    <w:rsid w:val="00714B36"/>
    <w:rsid w:val="0071535A"/>
    <w:rsid w:val="00715EF5"/>
    <w:rsid w:val="00716216"/>
    <w:rsid w:val="00716C82"/>
    <w:rsid w:val="00717AE4"/>
    <w:rsid w:val="00720739"/>
    <w:rsid w:val="00721BB4"/>
    <w:rsid w:val="00721BFA"/>
    <w:rsid w:val="00722E90"/>
    <w:rsid w:val="0072323C"/>
    <w:rsid w:val="00723B7E"/>
    <w:rsid w:val="0072412A"/>
    <w:rsid w:val="00724510"/>
    <w:rsid w:val="00724BB7"/>
    <w:rsid w:val="00724FA7"/>
    <w:rsid w:val="00725283"/>
    <w:rsid w:val="007252DA"/>
    <w:rsid w:val="00725A29"/>
    <w:rsid w:val="00726898"/>
    <w:rsid w:val="00726904"/>
    <w:rsid w:val="00726998"/>
    <w:rsid w:val="00727CBB"/>
    <w:rsid w:val="00727FBF"/>
    <w:rsid w:val="00730424"/>
    <w:rsid w:val="00731B0E"/>
    <w:rsid w:val="00732225"/>
    <w:rsid w:val="00733425"/>
    <w:rsid w:val="007335DE"/>
    <w:rsid w:val="00733AA3"/>
    <w:rsid w:val="00733C4C"/>
    <w:rsid w:val="00734654"/>
    <w:rsid w:val="00734E3A"/>
    <w:rsid w:val="00735216"/>
    <w:rsid w:val="00735359"/>
    <w:rsid w:val="007364E5"/>
    <w:rsid w:val="0073681A"/>
    <w:rsid w:val="00736F60"/>
    <w:rsid w:val="0073798C"/>
    <w:rsid w:val="00740102"/>
    <w:rsid w:val="00742B2A"/>
    <w:rsid w:val="00742C4B"/>
    <w:rsid w:val="007434DA"/>
    <w:rsid w:val="0074410C"/>
    <w:rsid w:val="007456C2"/>
    <w:rsid w:val="0074619D"/>
    <w:rsid w:val="00746781"/>
    <w:rsid w:val="007469F9"/>
    <w:rsid w:val="007501D1"/>
    <w:rsid w:val="007505F5"/>
    <w:rsid w:val="007508F4"/>
    <w:rsid w:val="007509E9"/>
    <w:rsid w:val="00750FA1"/>
    <w:rsid w:val="00751670"/>
    <w:rsid w:val="007516F4"/>
    <w:rsid w:val="007517F7"/>
    <w:rsid w:val="0075233C"/>
    <w:rsid w:val="00752753"/>
    <w:rsid w:val="00752A7E"/>
    <w:rsid w:val="00752DAC"/>
    <w:rsid w:val="00753BB2"/>
    <w:rsid w:val="00753F0D"/>
    <w:rsid w:val="007541BE"/>
    <w:rsid w:val="007542B9"/>
    <w:rsid w:val="007544C5"/>
    <w:rsid w:val="00757AB0"/>
    <w:rsid w:val="00757D68"/>
    <w:rsid w:val="00760105"/>
    <w:rsid w:val="00760EF0"/>
    <w:rsid w:val="007615C0"/>
    <w:rsid w:val="007638F1"/>
    <w:rsid w:val="007646FD"/>
    <w:rsid w:val="00766469"/>
    <w:rsid w:val="00767128"/>
    <w:rsid w:val="00767A2B"/>
    <w:rsid w:val="0077192A"/>
    <w:rsid w:val="00771DF4"/>
    <w:rsid w:val="00772010"/>
    <w:rsid w:val="007723EA"/>
    <w:rsid w:val="007739D0"/>
    <w:rsid w:val="00774076"/>
    <w:rsid w:val="007740D6"/>
    <w:rsid w:val="007744AF"/>
    <w:rsid w:val="00774DE5"/>
    <w:rsid w:val="00774EEE"/>
    <w:rsid w:val="00776CEF"/>
    <w:rsid w:val="00777389"/>
    <w:rsid w:val="00780A4A"/>
    <w:rsid w:val="00780F30"/>
    <w:rsid w:val="007817DE"/>
    <w:rsid w:val="0078350B"/>
    <w:rsid w:val="00783911"/>
    <w:rsid w:val="007839E2"/>
    <w:rsid w:val="00783EB4"/>
    <w:rsid w:val="00784318"/>
    <w:rsid w:val="007845D4"/>
    <w:rsid w:val="00786797"/>
    <w:rsid w:val="00786A02"/>
    <w:rsid w:val="0079007A"/>
    <w:rsid w:val="00790342"/>
    <w:rsid w:val="00790AE1"/>
    <w:rsid w:val="00790B33"/>
    <w:rsid w:val="00790C35"/>
    <w:rsid w:val="00792127"/>
    <w:rsid w:val="00793C3F"/>
    <w:rsid w:val="007940E0"/>
    <w:rsid w:val="007951BB"/>
    <w:rsid w:val="00795DEC"/>
    <w:rsid w:val="00796A18"/>
    <w:rsid w:val="00797A3D"/>
    <w:rsid w:val="007A033F"/>
    <w:rsid w:val="007A097D"/>
    <w:rsid w:val="007A09D1"/>
    <w:rsid w:val="007A1E4E"/>
    <w:rsid w:val="007A1FEA"/>
    <w:rsid w:val="007A2869"/>
    <w:rsid w:val="007A381C"/>
    <w:rsid w:val="007A4311"/>
    <w:rsid w:val="007A4607"/>
    <w:rsid w:val="007A4932"/>
    <w:rsid w:val="007A4D7F"/>
    <w:rsid w:val="007A59B3"/>
    <w:rsid w:val="007A63AF"/>
    <w:rsid w:val="007A70D0"/>
    <w:rsid w:val="007A728A"/>
    <w:rsid w:val="007A76E9"/>
    <w:rsid w:val="007B0B4B"/>
    <w:rsid w:val="007B24B5"/>
    <w:rsid w:val="007B273A"/>
    <w:rsid w:val="007B2CDE"/>
    <w:rsid w:val="007B34A9"/>
    <w:rsid w:val="007B36D9"/>
    <w:rsid w:val="007B3CEE"/>
    <w:rsid w:val="007B3D45"/>
    <w:rsid w:val="007B40FE"/>
    <w:rsid w:val="007B4530"/>
    <w:rsid w:val="007B59C1"/>
    <w:rsid w:val="007B61E9"/>
    <w:rsid w:val="007B7779"/>
    <w:rsid w:val="007C0088"/>
    <w:rsid w:val="007C04CC"/>
    <w:rsid w:val="007C06A5"/>
    <w:rsid w:val="007C0AA9"/>
    <w:rsid w:val="007C132C"/>
    <w:rsid w:val="007C2316"/>
    <w:rsid w:val="007C308D"/>
    <w:rsid w:val="007C3A53"/>
    <w:rsid w:val="007C4160"/>
    <w:rsid w:val="007C4CD2"/>
    <w:rsid w:val="007C53AF"/>
    <w:rsid w:val="007C53E3"/>
    <w:rsid w:val="007C55AF"/>
    <w:rsid w:val="007C620B"/>
    <w:rsid w:val="007C7BAD"/>
    <w:rsid w:val="007C7CBD"/>
    <w:rsid w:val="007D10ED"/>
    <w:rsid w:val="007D1205"/>
    <w:rsid w:val="007D133F"/>
    <w:rsid w:val="007D1A43"/>
    <w:rsid w:val="007D27AF"/>
    <w:rsid w:val="007D4194"/>
    <w:rsid w:val="007D4B24"/>
    <w:rsid w:val="007D5BFF"/>
    <w:rsid w:val="007D619E"/>
    <w:rsid w:val="007D63AA"/>
    <w:rsid w:val="007D6CF6"/>
    <w:rsid w:val="007D7437"/>
    <w:rsid w:val="007D7C04"/>
    <w:rsid w:val="007D7FEE"/>
    <w:rsid w:val="007D7FF2"/>
    <w:rsid w:val="007E056B"/>
    <w:rsid w:val="007E0722"/>
    <w:rsid w:val="007E0C0B"/>
    <w:rsid w:val="007E26D3"/>
    <w:rsid w:val="007E2B13"/>
    <w:rsid w:val="007E2B3A"/>
    <w:rsid w:val="007E2DB5"/>
    <w:rsid w:val="007E33A9"/>
    <w:rsid w:val="007E3F2A"/>
    <w:rsid w:val="007E4923"/>
    <w:rsid w:val="007E4BEA"/>
    <w:rsid w:val="007E5A29"/>
    <w:rsid w:val="007E5A86"/>
    <w:rsid w:val="007E5AAA"/>
    <w:rsid w:val="007E6840"/>
    <w:rsid w:val="007E6C29"/>
    <w:rsid w:val="007E6D04"/>
    <w:rsid w:val="007E73C3"/>
    <w:rsid w:val="007E77FF"/>
    <w:rsid w:val="007E7B7B"/>
    <w:rsid w:val="007F05F2"/>
    <w:rsid w:val="007F0723"/>
    <w:rsid w:val="007F11EA"/>
    <w:rsid w:val="007F11ED"/>
    <w:rsid w:val="007F21FC"/>
    <w:rsid w:val="007F2D5A"/>
    <w:rsid w:val="007F3860"/>
    <w:rsid w:val="007F4B24"/>
    <w:rsid w:val="007F5891"/>
    <w:rsid w:val="007F6C9C"/>
    <w:rsid w:val="007F7855"/>
    <w:rsid w:val="007F7A40"/>
    <w:rsid w:val="0080033C"/>
    <w:rsid w:val="00800D02"/>
    <w:rsid w:val="00801B83"/>
    <w:rsid w:val="00803C6A"/>
    <w:rsid w:val="00803CBC"/>
    <w:rsid w:val="0080430D"/>
    <w:rsid w:val="00806DC3"/>
    <w:rsid w:val="0080731F"/>
    <w:rsid w:val="00807765"/>
    <w:rsid w:val="00807F05"/>
    <w:rsid w:val="0081153C"/>
    <w:rsid w:val="00811B14"/>
    <w:rsid w:val="00812783"/>
    <w:rsid w:val="008128CA"/>
    <w:rsid w:val="008129D1"/>
    <w:rsid w:val="00812C0A"/>
    <w:rsid w:val="00812F39"/>
    <w:rsid w:val="008133BB"/>
    <w:rsid w:val="008138B7"/>
    <w:rsid w:val="0081415F"/>
    <w:rsid w:val="00815956"/>
    <w:rsid w:val="008165F5"/>
    <w:rsid w:val="008179F4"/>
    <w:rsid w:val="00820597"/>
    <w:rsid w:val="008218A7"/>
    <w:rsid w:val="00821CC3"/>
    <w:rsid w:val="00823C77"/>
    <w:rsid w:val="00824688"/>
    <w:rsid w:val="00824692"/>
    <w:rsid w:val="0082528C"/>
    <w:rsid w:val="00825D14"/>
    <w:rsid w:val="00825F4A"/>
    <w:rsid w:val="00826A25"/>
    <w:rsid w:val="00827537"/>
    <w:rsid w:val="008277D6"/>
    <w:rsid w:val="0082799A"/>
    <w:rsid w:val="00830151"/>
    <w:rsid w:val="0083088F"/>
    <w:rsid w:val="00830F48"/>
    <w:rsid w:val="00831463"/>
    <w:rsid w:val="00832CA3"/>
    <w:rsid w:val="00833484"/>
    <w:rsid w:val="00833C00"/>
    <w:rsid w:val="00833D08"/>
    <w:rsid w:val="0083529A"/>
    <w:rsid w:val="0083572A"/>
    <w:rsid w:val="008357B3"/>
    <w:rsid w:val="00835CF7"/>
    <w:rsid w:val="008366BB"/>
    <w:rsid w:val="00836711"/>
    <w:rsid w:val="0083705E"/>
    <w:rsid w:val="00837681"/>
    <w:rsid w:val="00841005"/>
    <w:rsid w:val="008426C9"/>
    <w:rsid w:val="0084421A"/>
    <w:rsid w:val="008459B3"/>
    <w:rsid w:val="00846DEA"/>
    <w:rsid w:val="00846E5A"/>
    <w:rsid w:val="0084773E"/>
    <w:rsid w:val="00850BB5"/>
    <w:rsid w:val="008520F5"/>
    <w:rsid w:val="0085216E"/>
    <w:rsid w:val="008524E6"/>
    <w:rsid w:val="008527A4"/>
    <w:rsid w:val="00853664"/>
    <w:rsid w:val="00855960"/>
    <w:rsid w:val="008566C4"/>
    <w:rsid w:val="008570E2"/>
    <w:rsid w:val="008608F3"/>
    <w:rsid w:val="00861008"/>
    <w:rsid w:val="0086179C"/>
    <w:rsid w:val="008619D7"/>
    <w:rsid w:val="00862515"/>
    <w:rsid w:val="00862C83"/>
    <w:rsid w:val="00864704"/>
    <w:rsid w:val="008666F0"/>
    <w:rsid w:val="00866DAC"/>
    <w:rsid w:val="00866FD9"/>
    <w:rsid w:val="00867499"/>
    <w:rsid w:val="00870128"/>
    <w:rsid w:val="00870EF1"/>
    <w:rsid w:val="008713B4"/>
    <w:rsid w:val="00872FE3"/>
    <w:rsid w:val="008734E2"/>
    <w:rsid w:val="00875628"/>
    <w:rsid w:val="0087710A"/>
    <w:rsid w:val="0087728B"/>
    <w:rsid w:val="0087782D"/>
    <w:rsid w:val="00877A5D"/>
    <w:rsid w:val="008802C4"/>
    <w:rsid w:val="00880493"/>
    <w:rsid w:val="00881611"/>
    <w:rsid w:val="00881992"/>
    <w:rsid w:val="00882D2A"/>
    <w:rsid w:val="00884AE0"/>
    <w:rsid w:val="00884CE3"/>
    <w:rsid w:val="008850B5"/>
    <w:rsid w:val="008851AC"/>
    <w:rsid w:val="008868A3"/>
    <w:rsid w:val="008874B1"/>
    <w:rsid w:val="00887E7E"/>
    <w:rsid w:val="0089010D"/>
    <w:rsid w:val="00891F2A"/>
    <w:rsid w:val="00892594"/>
    <w:rsid w:val="008926E1"/>
    <w:rsid w:val="00892D1C"/>
    <w:rsid w:val="00893706"/>
    <w:rsid w:val="0089492D"/>
    <w:rsid w:val="00894A5C"/>
    <w:rsid w:val="00894CCD"/>
    <w:rsid w:val="008961B0"/>
    <w:rsid w:val="0089677F"/>
    <w:rsid w:val="008978E3"/>
    <w:rsid w:val="00897CB2"/>
    <w:rsid w:val="00897F42"/>
    <w:rsid w:val="008A0205"/>
    <w:rsid w:val="008A096C"/>
    <w:rsid w:val="008A14C0"/>
    <w:rsid w:val="008A1811"/>
    <w:rsid w:val="008A1C5B"/>
    <w:rsid w:val="008A2946"/>
    <w:rsid w:val="008A2DB5"/>
    <w:rsid w:val="008A3139"/>
    <w:rsid w:val="008A313F"/>
    <w:rsid w:val="008A33D3"/>
    <w:rsid w:val="008A3CE8"/>
    <w:rsid w:val="008A48DA"/>
    <w:rsid w:val="008A5126"/>
    <w:rsid w:val="008A513B"/>
    <w:rsid w:val="008A5A4B"/>
    <w:rsid w:val="008A6B2F"/>
    <w:rsid w:val="008A6EC2"/>
    <w:rsid w:val="008A7483"/>
    <w:rsid w:val="008A7C93"/>
    <w:rsid w:val="008B0E63"/>
    <w:rsid w:val="008B1C08"/>
    <w:rsid w:val="008B1C0D"/>
    <w:rsid w:val="008B27F8"/>
    <w:rsid w:val="008B2CAE"/>
    <w:rsid w:val="008B2D3A"/>
    <w:rsid w:val="008B45E9"/>
    <w:rsid w:val="008B4AE1"/>
    <w:rsid w:val="008B4C68"/>
    <w:rsid w:val="008B55B1"/>
    <w:rsid w:val="008B5BC5"/>
    <w:rsid w:val="008B6DDF"/>
    <w:rsid w:val="008B7601"/>
    <w:rsid w:val="008B7C3E"/>
    <w:rsid w:val="008C0111"/>
    <w:rsid w:val="008C09C4"/>
    <w:rsid w:val="008C1630"/>
    <w:rsid w:val="008C2440"/>
    <w:rsid w:val="008C2F00"/>
    <w:rsid w:val="008C2F94"/>
    <w:rsid w:val="008C3A96"/>
    <w:rsid w:val="008C419F"/>
    <w:rsid w:val="008C4FF0"/>
    <w:rsid w:val="008C67A2"/>
    <w:rsid w:val="008D060D"/>
    <w:rsid w:val="008D1187"/>
    <w:rsid w:val="008D1D55"/>
    <w:rsid w:val="008D212F"/>
    <w:rsid w:val="008D21DD"/>
    <w:rsid w:val="008D24E5"/>
    <w:rsid w:val="008D2F42"/>
    <w:rsid w:val="008D386A"/>
    <w:rsid w:val="008D3B35"/>
    <w:rsid w:val="008D3EA4"/>
    <w:rsid w:val="008D426B"/>
    <w:rsid w:val="008D5586"/>
    <w:rsid w:val="008D6093"/>
    <w:rsid w:val="008D6139"/>
    <w:rsid w:val="008D6D9C"/>
    <w:rsid w:val="008E0210"/>
    <w:rsid w:val="008E02A1"/>
    <w:rsid w:val="008E0734"/>
    <w:rsid w:val="008E1666"/>
    <w:rsid w:val="008E17AE"/>
    <w:rsid w:val="008E17C8"/>
    <w:rsid w:val="008E2151"/>
    <w:rsid w:val="008E3295"/>
    <w:rsid w:val="008E3584"/>
    <w:rsid w:val="008E36C7"/>
    <w:rsid w:val="008E423A"/>
    <w:rsid w:val="008E47FE"/>
    <w:rsid w:val="008E4B4E"/>
    <w:rsid w:val="008E507B"/>
    <w:rsid w:val="008E508A"/>
    <w:rsid w:val="008E5254"/>
    <w:rsid w:val="008E5407"/>
    <w:rsid w:val="008E5A90"/>
    <w:rsid w:val="008E640A"/>
    <w:rsid w:val="008E6627"/>
    <w:rsid w:val="008E6AA8"/>
    <w:rsid w:val="008E7789"/>
    <w:rsid w:val="008F10EA"/>
    <w:rsid w:val="008F10FF"/>
    <w:rsid w:val="008F1520"/>
    <w:rsid w:val="008F177F"/>
    <w:rsid w:val="008F21B6"/>
    <w:rsid w:val="008F22FC"/>
    <w:rsid w:val="008F2AE9"/>
    <w:rsid w:val="008F4E2B"/>
    <w:rsid w:val="008F53D5"/>
    <w:rsid w:val="008F561D"/>
    <w:rsid w:val="008F61D6"/>
    <w:rsid w:val="008F640C"/>
    <w:rsid w:val="008F6CE2"/>
    <w:rsid w:val="0090045C"/>
    <w:rsid w:val="009012BE"/>
    <w:rsid w:val="0090160D"/>
    <w:rsid w:val="00901D33"/>
    <w:rsid w:val="00902941"/>
    <w:rsid w:val="00903471"/>
    <w:rsid w:val="009038D2"/>
    <w:rsid w:val="00905B61"/>
    <w:rsid w:val="00905F96"/>
    <w:rsid w:val="00906200"/>
    <w:rsid w:val="00906E01"/>
    <w:rsid w:val="00910A1A"/>
    <w:rsid w:val="00911E4C"/>
    <w:rsid w:val="00911ECA"/>
    <w:rsid w:val="00911FA8"/>
    <w:rsid w:val="0091263C"/>
    <w:rsid w:val="00912BC7"/>
    <w:rsid w:val="00913EC4"/>
    <w:rsid w:val="00913F38"/>
    <w:rsid w:val="00913F83"/>
    <w:rsid w:val="009143B1"/>
    <w:rsid w:val="00914D08"/>
    <w:rsid w:val="00914D80"/>
    <w:rsid w:val="009150C4"/>
    <w:rsid w:val="00915226"/>
    <w:rsid w:val="00915C38"/>
    <w:rsid w:val="0091604D"/>
    <w:rsid w:val="009161AA"/>
    <w:rsid w:val="009174B6"/>
    <w:rsid w:val="0092164A"/>
    <w:rsid w:val="00921ACB"/>
    <w:rsid w:val="00921B14"/>
    <w:rsid w:val="0092364A"/>
    <w:rsid w:val="00923AD6"/>
    <w:rsid w:val="00923DEE"/>
    <w:rsid w:val="00923F2B"/>
    <w:rsid w:val="00924889"/>
    <w:rsid w:val="00924A94"/>
    <w:rsid w:val="00924F58"/>
    <w:rsid w:val="00925771"/>
    <w:rsid w:val="00925D1A"/>
    <w:rsid w:val="0092610A"/>
    <w:rsid w:val="009265AE"/>
    <w:rsid w:val="00926EA7"/>
    <w:rsid w:val="009275D1"/>
    <w:rsid w:val="00927758"/>
    <w:rsid w:val="00927D3D"/>
    <w:rsid w:val="009300B7"/>
    <w:rsid w:val="0093068E"/>
    <w:rsid w:val="009315A7"/>
    <w:rsid w:val="00931AFE"/>
    <w:rsid w:val="00931B88"/>
    <w:rsid w:val="00932BC3"/>
    <w:rsid w:val="00933005"/>
    <w:rsid w:val="00933777"/>
    <w:rsid w:val="00933E28"/>
    <w:rsid w:val="00934638"/>
    <w:rsid w:val="00934F29"/>
    <w:rsid w:val="00935084"/>
    <w:rsid w:val="0093534A"/>
    <w:rsid w:val="0093570F"/>
    <w:rsid w:val="00935A6F"/>
    <w:rsid w:val="0093682D"/>
    <w:rsid w:val="00937C2B"/>
    <w:rsid w:val="00937D8A"/>
    <w:rsid w:val="00940486"/>
    <w:rsid w:val="009406C9"/>
    <w:rsid w:val="00940F23"/>
    <w:rsid w:val="00940F51"/>
    <w:rsid w:val="00942564"/>
    <w:rsid w:val="00946487"/>
    <w:rsid w:val="00946950"/>
    <w:rsid w:val="00946B29"/>
    <w:rsid w:val="00950CA1"/>
    <w:rsid w:val="00950DC4"/>
    <w:rsid w:val="00951970"/>
    <w:rsid w:val="009521B3"/>
    <w:rsid w:val="009524C3"/>
    <w:rsid w:val="0095283F"/>
    <w:rsid w:val="009538A9"/>
    <w:rsid w:val="0095437A"/>
    <w:rsid w:val="00954E0B"/>
    <w:rsid w:val="009556C9"/>
    <w:rsid w:val="009557C4"/>
    <w:rsid w:val="009557DB"/>
    <w:rsid w:val="00955F73"/>
    <w:rsid w:val="00956557"/>
    <w:rsid w:val="00956B8B"/>
    <w:rsid w:val="00956C8A"/>
    <w:rsid w:val="009604F3"/>
    <w:rsid w:val="00961827"/>
    <w:rsid w:val="00962A4B"/>
    <w:rsid w:val="00962D5D"/>
    <w:rsid w:val="00964514"/>
    <w:rsid w:val="00964A3E"/>
    <w:rsid w:val="00965328"/>
    <w:rsid w:val="0096563F"/>
    <w:rsid w:val="00965F9F"/>
    <w:rsid w:val="00966C60"/>
    <w:rsid w:val="0097056C"/>
    <w:rsid w:val="00970D93"/>
    <w:rsid w:val="00970F3A"/>
    <w:rsid w:val="00971563"/>
    <w:rsid w:val="0097172C"/>
    <w:rsid w:val="00971889"/>
    <w:rsid w:val="009729D2"/>
    <w:rsid w:val="00973141"/>
    <w:rsid w:val="00973424"/>
    <w:rsid w:val="00973B95"/>
    <w:rsid w:val="009740D8"/>
    <w:rsid w:val="00974710"/>
    <w:rsid w:val="009756B3"/>
    <w:rsid w:val="009757ED"/>
    <w:rsid w:val="00975974"/>
    <w:rsid w:val="00976377"/>
    <w:rsid w:val="009770AF"/>
    <w:rsid w:val="00982367"/>
    <w:rsid w:val="00982A8D"/>
    <w:rsid w:val="00982DC7"/>
    <w:rsid w:val="00983926"/>
    <w:rsid w:val="00983AB0"/>
    <w:rsid w:val="0098493C"/>
    <w:rsid w:val="0098538A"/>
    <w:rsid w:val="009855E3"/>
    <w:rsid w:val="00985B92"/>
    <w:rsid w:val="009860B0"/>
    <w:rsid w:val="0098631D"/>
    <w:rsid w:val="00986659"/>
    <w:rsid w:val="00986E3C"/>
    <w:rsid w:val="0099000F"/>
    <w:rsid w:val="00993074"/>
    <w:rsid w:val="0099308C"/>
    <w:rsid w:val="00993917"/>
    <w:rsid w:val="00994482"/>
    <w:rsid w:val="009948AD"/>
    <w:rsid w:val="00994982"/>
    <w:rsid w:val="00995F77"/>
    <w:rsid w:val="0099639A"/>
    <w:rsid w:val="0099723F"/>
    <w:rsid w:val="009972C2"/>
    <w:rsid w:val="00997BF3"/>
    <w:rsid w:val="009A0A89"/>
    <w:rsid w:val="009A0AB2"/>
    <w:rsid w:val="009A0B36"/>
    <w:rsid w:val="009A133F"/>
    <w:rsid w:val="009A15EE"/>
    <w:rsid w:val="009A33DB"/>
    <w:rsid w:val="009A39D8"/>
    <w:rsid w:val="009A4DFC"/>
    <w:rsid w:val="009A5256"/>
    <w:rsid w:val="009A5F60"/>
    <w:rsid w:val="009A60D1"/>
    <w:rsid w:val="009A63BD"/>
    <w:rsid w:val="009A6B6C"/>
    <w:rsid w:val="009A6FC2"/>
    <w:rsid w:val="009A7688"/>
    <w:rsid w:val="009B1987"/>
    <w:rsid w:val="009B1E6B"/>
    <w:rsid w:val="009B2814"/>
    <w:rsid w:val="009B3EE7"/>
    <w:rsid w:val="009B5564"/>
    <w:rsid w:val="009B55B3"/>
    <w:rsid w:val="009C10DC"/>
    <w:rsid w:val="009C10FF"/>
    <w:rsid w:val="009C11B2"/>
    <w:rsid w:val="009C15B4"/>
    <w:rsid w:val="009C1A3A"/>
    <w:rsid w:val="009C1F0E"/>
    <w:rsid w:val="009C2ABE"/>
    <w:rsid w:val="009C3687"/>
    <w:rsid w:val="009C379F"/>
    <w:rsid w:val="009C44F8"/>
    <w:rsid w:val="009C59BD"/>
    <w:rsid w:val="009C6265"/>
    <w:rsid w:val="009C63B0"/>
    <w:rsid w:val="009C6A02"/>
    <w:rsid w:val="009C715B"/>
    <w:rsid w:val="009C735D"/>
    <w:rsid w:val="009C7570"/>
    <w:rsid w:val="009C7A57"/>
    <w:rsid w:val="009C7C6F"/>
    <w:rsid w:val="009C7D53"/>
    <w:rsid w:val="009D0132"/>
    <w:rsid w:val="009D01AD"/>
    <w:rsid w:val="009D023A"/>
    <w:rsid w:val="009D0547"/>
    <w:rsid w:val="009D0708"/>
    <w:rsid w:val="009D07C7"/>
    <w:rsid w:val="009D0B91"/>
    <w:rsid w:val="009D0CD1"/>
    <w:rsid w:val="009D0EC3"/>
    <w:rsid w:val="009D113F"/>
    <w:rsid w:val="009D14E2"/>
    <w:rsid w:val="009D15BA"/>
    <w:rsid w:val="009D1DE1"/>
    <w:rsid w:val="009D2EC1"/>
    <w:rsid w:val="009D3071"/>
    <w:rsid w:val="009D30F0"/>
    <w:rsid w:val="009D3F49"/>
    <w:rsid w:val="009D4026"/>
    <w:rsid w:val="009D4E03"/>
    <w:rsid w:val="009D53DE"/>
    <w:rsid w:val="009D5F82"/>
    <w:rsid w:val="009D70D0"/>
    <w:rsid w:val="009D718A"/>
    <w:rsid w:val="009D7270"/>
    <w:rsid w:val="009D7DAF"/>
    <w:rsid w:val="009E0643"/>
    <w:rsid w:val="009E0E00"/>
    <w:rsid w:val="009E211F"/>
    <w:rsid w:val="009E29F5"/>
    <w:rsid w:val="009E4365"/>
    <w:rsid w:val="009E4CE0"/>
    <w:rsid w:val="009E4CF4"/>
    <w:rsid w:val="009E52BA"/>
    <w:rsid w:val="009E5503"/>
    <w:rsid w:val="009E581F"/>
    <w:rsid w:val="009E5886"/>
    <w:rsid w:val="009E6411"/>
    <w:rsid w:val="009F003A"/>
    <w:rsid w:val="009F080D"/>
    <w:rsid w:val="009F0AAA"/>
    <w:rsid w:val="009F2818"/>
    <w:rsid w:val="009F2840"/>
    <w:rsid w:val="009F3525"/>
    <w:rsid w:val="009F370B"/>
    <w:rsid w:val="009F3891"/>
    <w:rsid w:val="009F3BC3"/>
    <w:rsid w:val="009F413D"/>
    <w:rsid w:val="009F488F"/>
    <w:rsid w:val="009F606E"/>
    <w:rsid w:val="009F67D8"/>
    <w:rsid w:val="009F6A6B"/>
    <w:rsid w:val="009F731E"/>
    <w:rsid w:val="009F7C4B"/>
    <w:rsid w:val="009F7CDE"/>
    <w:rsid w:val="00A012AB"/>
    <w:rsid w:val="00A01381"/>
    <w:rsid w:val="00A016CD"/>
    <w:rsid w:val="00A017F6"/>
    <w:rsid w:val="00A02715"/>
    <w:rsid w:val="00A0347D"/>
    <w:rsid w:val="00A03545"/>
    <w:rsid w:val="00A03920"/>
    <w:rsid w:val="00A04FE4"/>
    <w:rsid w:val="00A05D6C"/>
    <w:rsid w:val="00A05EB9"/>
    <w:rsid w:val="00A06CD9"/>
    <w:rsid w:val="00A07237"/>
    <w:rsid w:val="00A07822"/>
    <w:rsid w:val="00A10497"/>
    <w:rsid w:val="00A104C8"/>
    <w:rsid w:val="00A10799"/>
    <w:rsid w:val="00A10E50"/>
    <w:rsid w:val="00A11947"/>
    <w:rsid w:val="00A11EB0"/>
    <w:rsid w:val="00A12716"/>
    <w:rsid w:val="00A12C18"/>
    <w:rsid w:val="00A12FBC"/>
    <w:rsid w:val="00A1354F"/>
    <w:rsid w:val="00A14F53"/>
    <w:rsid w:val="00A15DBC"/>
    <w:rsid w:val="00A165D7"/>
    <w:rsid w:val="00A16617"/>
    <w:rsid w:val="00A17083"/>
    <w:rsid w:val="00A176AD"/>
    <w:rsid w:val="00A17C51"/>
    <w:rsid w:val="00A203F9"/>
    <w:rsid w:val="00A20B22"/>
    <w:rsid w:val="00A2148E"/>
    <w:rsid w:val="00A2197B"/>
    <w:rsid w:val="00A21BE2"/>
    <w:rsid w:val="00A21D00"/>
    <w:rsid w:val="00A26DAA"/>
    <w:rsid w:val="00A2701E"/>
    <w:rsid w:val="00A30B8D"/>
    <w:rsid w:val="00A31334"/>
    <w:rsid w:val="00A33AB4"/>
    <w:rsid w:val="00A33EB7"/>
    <w:rsid w:val="00A348DE"/>
    <w:rsid w:val="00A34B71"/>
    <w:rsid w:val="00A3505F"/>
    <w:rsid w:val="00A356D6"/>
    <w:rsid w:val="00A365FF"/>
    <w:rsid w:val="00A37BA8"/>
    <w:rsid w:val="00A40893"/>
    <w:rsid w:val="00A41337"/>
    <w:rsid w:val="00A423AB"/>
    <w:rsid w:val="00A42C55"/>
    <w:rsid w:val="00A42E69"/>
    <w:rsid w:val="00A437A6"/>
    <w:rsid w:val="00A44C9B"/>
    <w:rsid w:val="00A44D74"/>
    <w:rsid w:val="00A45BE9"/>
    <w:rsid w:val="00A46008"/>
    <w:rsid w:val="00A460BA"/>
    <w:rsid w:val="00A4788F"/>
    <w:rsid w:val="00A47A3D"/>
    <w:rsid w:val="00A512C2"/>
    <w:rsid w:val="00A51EB3"/>
    <w:rsid w:val="00A52267"/>
    <w:rsid w:val="00A53046"/>
    <w:rsid w:val="00A5339F"/>
    <w:rsid w:val="00A5352D"/>
    <w:rsid w:val="00A5352E"/>
    <w:rsid w:val="00A54FE0"/>
    <w:rsid w:val="00A5589A"/>
    <w:rsid w:val="00A57638"/>
    <w:rsid w:val="00A57ED3"/>
    <w:rsid w:val="00A602D3"/>
    <w:rsid w:val="00A60C00"/>
    <w:rsid w:val="00A612E7"/>
    <w:rsid w:val="00A614C3"/>
    <w:rsid w:val="00A617A2"/>
    <w:rsid w:val="00A617EE"/>
    <w:rsid w:val="00A61A36"/>
    <w:rsid w:val="00A63325"/>
    <w:rsid w:val="00A64F25"/>
    <w:rsid w:val="00A65166"/>
    <w:rsid w:val="00A6531E"/>
    <w:rsid w:val="00A65407"/>
    <w:rsid w:val="00A65D56"/>
    <w:rsid w:val="00A65E88"/>
    <w:rsid w:val="00A65F3E"/>
    <w:rsid w:val="00A65F7E"/>
    <w:rsid w:val="00A66331"/>
    <w:rsid w:val="00A668F5"/>
    <w:rsid w:val="00A67307"/>
    <w:rsid w:val="00A674D3"/>
    <w:rsid w:val="00A67EB7"/>
    <w:rsid w:val="00A67FA6"/>
    <w:rsid w:val="00A70B1E"/>
    <w:rsid w:val="00A70E8F"/>
    <w:rsid w:val="00A71B55"/>
    <w:rsid w:val="00A71BDD"/>
    <w:rsid w:val="00A72312"/>
    <w:rsid w:val="00A732D4"/>
    <w:rsid w:val="00A741FF"/>
    <w:rsid w:val="00A742AF"/>
    <w:rsid w:val="00A74A46"/>
    <w:rsid w:val="00A74DEB"/>
    <w:rsid w:val="00A752D5"/>
    <w:rsid w:val="00A75AB5"/>
    <w:rsid w:val="00A76CB5"/>
    <w:rsid w:val="00A76CDC"/>
    <w:rsid w:val="00A77A16"/>
    <w:rsid w:val="00A77CAC"/>
    <w:rsid w:val="00A80AAD"/>
    <w:rsid w:val="00A80DDC"/>
    <w:rsid w:val="00A818BC"/>
    <w:rsid w:val="00A8220B"/>
    <w:rsid w:val="00A82D0F"/>
    <w:rsid w:val="00A8361B"/>
    <w:rsid w:val="00A83D3F"/>
    <w:rsid w:val="00A8419B"/>
    <w:rsid w:val="00A842FA"/>
    <w:rsid w:val="00A85339"/>
    <w:rsid w:val="00A85C19"/>
    <w:rsid w:val="00A87023"/>
    <w:rsid w:val="00A875A3"/>
    <w:rsid w:val="00A878C0"/>
    <w:rsid w:val="00A90F7C"/>
    <w:rsid w:val="00A9133D"/>
    <w:rsid w:val="00A916CA"/>
    <w:rsid w:val="00A92BF4"/>
    <w:rsid w:val="00A9393A"/>
    <w:rsid w:val="00A93C0E"/>
    <w:rsid w:val="00A9422E"/>
    <w:rsid w:val="00A94393"/>
    <w:rsid w:val="00A946AD"/>
    <w:rsid w:val="00A94EFF"/>
    <w:rsid w:val="00A95112"/>
    <w:rsid w:val="00A9516E"/>
    <w:rsid w:val="00A958FE"/>
    <w:rsid w:val="00A96B50"/>
    <w:rsid w:val="00A974EC"/>
    <w:rsid w:val="00A975AE"/>
    <w:rsid w:val="00A97681"/>
    <w:rsid w:val="00AA0025"/>
    <w:rsid w:val="00AA01F2"/>
    <w:rsid w:val="00AA0CBA"/>
    <w:rsid w:val="00AA1194"/>
    <w:rsid w:val="00AA17DD"/>
    <w:rsid w:val="00AA1985"/>
    <w:rsid w:val="00AA1987"/>
    <w:rsid w:val="00AA1D10"/>
    <w:rsid w:val="00AA2C36"/>
    <w:rsid w:val="00AA32FE"/>
    <w:rsid w:val="00AA3990"/>
    <w:rsid w:val="00AA4682"/>
    <w:rsid w:val="00AA560C"/>
    <w:rsid w:val="00AA5920"/>
    <w:rsid w:val="00AA68AD"/>
    <w:rsid w:val="00AA6CC8"/>
    <w:rsid w:val="00AA77BF"/>
    <w:rsid w:val="00AB049B"/>
    <w:rsid w:val="00AB07B4"/>
    <w:rsid w:val="00AB15CE"/>
    <w:rsid w:val="00AB1942"/>
    <w:rsid w:val="00AB1EF3"/>
    <w:rsid w:val="00AB269A"/>
    <w:rsid w:val="00AB2A91"/>
    <w:rsid w:val="00AB3F7E"/>
    <w:rsid w:val="00AB4419"/>
    <w:rsid w:val="00AB444C"/>
    <w:rsid w:val="00AB4714"/>
    <w:rsid w:val="00AB4C18"/>
    <w:rsid w:val="00AB5794"/>
    <w:rsid w:val="00AB5C7B"/>
    <w:rsid w:val="00AB6BCD"/>
    <w:rsid w:val="00AB6DA3"/>
    <w:rsid w:val="00AB7021"/>
    <w:rsid w:val="00AC0E60"/>
    <w:rsid w:val="00AC12C4"/>
    <w:rsid w:val="00AC2DF1"/>
    <w:rsid w:val="00AC303A"/>
    <w:rsid w:val="00AC3A2E"/>
    <w:rsid w:val="00AC3C19"/>
    <w:rsid w:val="00AC3F68"/>
    <w:rsid w:val="00AC5B1C"/>
    <w:rsid w:val="00AC6285"/>
    <w:rsid w:val="00AC672D"/>
    <w:rsid w:val="00AC7172"/>
    <w:rsid w:val="00AC741B"/>
    <w:rsid w:val="00AC78E8"/>
    <w:rsid w:val="00AD10ED"/>
    <w:rsid w:val="00AD210D"/>
    <w:rsid w:val="00AD21EB"/>
    <w:rsid w:val="00AD26F7"/>
    <w:rsid w:val="00AD280B"/>
    <w:rsid w:val="00AD7451"/>
    <w:rsid w:val="00AD7643"/>
    <w:rsid w:val="00AD7C30"/>
    <w:rsid w:val="00AE07FE"/>
    <w:rsid w:val="00AE10B8"/>
    <w:rsid w:val="00AE23E7"/>
    <w:rsid w:val="00AE280B"/>
    <w:rsid w:val="00AE4F88"/>
    <w:rsid w:val="00AE554D"/>
    <w:rsid w:val="00AE61A7"/>
    <w:rsid w:val="00AE780C"/>
    <w:rsid w:val="00AF05E1"/>
    <w:rsid w:val="00AF16C5"/>
    <w:rsid w:val="00AF1FC7"/>
    <w:rsid w:val="00AF2521"/>
    <w:rsid w:val="00AF3321"/>
    <w:rsid w:val="00AF3D88"/>
    <w:rsid w:val="00AF3DCC"/>
    <w:rsid w:val="00AF433D"/>
    <w:rsid w:val="00AF5024"/>
    <w:rsid w:val="00AF5D17"/>
    <w:rsid w:val="00AF7CB4"/>
    <w:rsid w:val="00B00368"/>
    <w:rsid w:val="00B0087E"/>
    <w:rsid w:val="00B00DD6"/>
    <w:rsid w:val="00B01193"/>
    <w:rsid w:val="00B011C8"/>
    <w:rsid w:val="00B01B64"/>
    <w:rsid w:val="00B01C28"/>
    <w:rsid w:val="00B02082"/>
    <w:rsid w:val="00B0274A"/>
    <w:rsid w:val="00B02B92"/>
    <w:rsid w:val="00B03527"/>
    <w:rsid w:val="00B03E75"/>
    <w:rsid w:val="00B04E23"/>
    <w:rsid w:val="00B04F37"/>
    <w:rsid w:val="00B0518C"/>
    <w:rsid w:val="00B05898"/>
    <w:rsid w:val="00B05942"/>
    <w:rsid w:val="00B05A77"/>
    <w:rsid w:val="00B0650D"/>
    <w:rsid w:val="00B0655B"/>
    <w:rsid w:val="00B10CFD"/>
    <w:rsid w:val="00B121E1"/>
    <w:rsid w:val="00B13237"/>
    <w:rsid w:val="00B136DC"/>
    <w:rsid w:val="00B14602"/>
    <w:rsid w:val="00B15237"/>
    <w:rsid w:val="00B159F7"/>
    <w:rsid w:val="00B15A1B"/>
    <w:rsid w:val="00B15DFC"/>
    <w:rsid w:val="00B176ED"/>
    <w:rsid w:val="00B200A2"/>
    <w:rsid w:val="00B21601"/>
    <w:rsid w:val="00B227DB"/>
    <w:rsid w:val="00B22D18"/>
    <w:rsid w:val="00B22FAE"/>
    <w:rsid w:val="00B235A1"/>
    <w:rsid w:val="00B23D3D"/>
    <w:rsid w:val="00B244E2"/>
    <w:rsid w:val="00B25A7A"/>
    <w:rsid w:val="00B26259"/>
    <w:rsid w:val="00B2699D"/>
    <w:rsid w:val="00B26B1B"/>
    <w:rsid w:val="00B27EE5"/>
    <w:rsid w:val="00B300AC"/>
    <w:rsid w:val="00B3131C"/>
    <w:rsid w:val="00B31501"/>
    <w:rsid w:val="00B31519"/>
    <w:rsid w:val="00B31916"/>
    <w:rsid w:val="00B3192D"/>
    <w:rsid w:val="00B31AAF"/>
    <w:rsid w:val="00B31B21"/>
    <w:rsid w:val="00B31D1A"/>
    <w:rsid w:val="00B31F05"/>
    <w:rsid w:val="00B3227D"/>
    <w:rsid w:val="00B33367"/>
    <w:rsid w:val="00B33930"/>
    <w:rsid w:val="00B33DB7"/>
    <w:rsid w:val="00B35171"/>
    <w:rsid w:val="00B3545E"/>
    <w:rsid w:val="00B35E00"/>
    <w:rsid w:val="00B36148"/>
    <w:rsid w:val="00B367F9"/>
    <w:rsid w:val="00B36FA7"/>
    <w:rsid w:val="00B3712A"/>
    <w:rsid w:val="00B37646"/>
    <w:rsid w:val="00B37D6F"/>
    <w:rsid w:val="00B407A0"/>
    <w:rsid w:val="00B40E7C"/>
    <w:rsid w:val="00B417A3"/>
    <w:rsid w:val="00B4230E"/>
    <w:rsid w:val="00B42B0F"/>
    <w:rsid w:val="00B430F7"/>
    <w:rsid w:val="00B4349A"/>
    <w:rsid w:val="00B4489B"/>
    <w:rsid w:val="00B459E5"/>
    <w:rsid w:val="00B46114"/>
    <w:rsid w:val="00B4637E"/>
    <w:rsid w:val="00B509C8"/>
    <w:rsid w:val="00B509F3"/>
    <w:rsid w:val="00B51721"/>
    <w:rsid w:val="00B51AB7"/>
    <w:rsid w:val="00B52439"/>
    <w:rsid w:val="00B524AB"/>
    <w:rsid w:val="00B52A4B"/>
    <w:rsid w:val="00B53083"/>
    <w:rsid w:val="00B54642"/>
    <w:rsid w:val="00B54DA2"/>
    <w:rsid w:val="00B55263"/>
    <w:rsid w:val="00B559EB"/>
    <w:rsid w:val="00B55D7C"/>
    <w:rsid w:val="00B56DEB"/>
    <w:rsid w:val="00B56F4A"/>
    <w:rsid w:val="00B577C7"/>
    <w:rsid w:val="00B57DE0"/>
    <w:rsid w:val="00B60827"/>
    <w:rsid w:val="00B60F8D"/>
    <w:rsid w:val="00B616DC"/>
    <w:rsid w:val="00B61785"/>
    <w:rsid w:val="00B62997"/>
    <w:rsid w:val="00B632EF"/>
    <w:rsid w:val="00B63960"/>
    <w:rsid w:val="00B6423A"/>
    <w:rsid w:val="00B64301"/>
    <w:rsid w:val="00B64750"/>
    <w:rsid w:val="00B64908"/>
    <w:rsid w:val="00B64B1D"/>
    <w:rsid w:val="00B64B7A"/>
    <w:rsid w:val="00B64CA7"/>
    <w:rsid w:val="00B650D3"/>
    <w:rsid w:val="00B653F8"/>
    <w:rsid w:val="00B65AEF"/>
    <w:rsid w:val="00B66B64"/>
    <w:rsid w:val="00B66E7F"/>
    <w:rsid w:val="00B672C7"/>
    <w:rsid w:val="00B6778F"/>
    <w:rsid w:val="00B67ADE"/>
    <w:rsid w:val="00B709A0"/>
    <w:rsid w:val="00B71820"/>
    <w:rsid w:val="00B719DB"/>
    <w:rsid w:val="00B72313"/>
    <w:rsid w:val="00B7294D"/>
    <w:rsid w:val="00B737BB"/>
    <w:rsid w:val="00B74056"/>
    <w:rsid w:val="00B740F5"/>
    <w:rsid w:val="00B74652"/>
    <w:rsid w:val="00B746B8"/>
    <w:rsid w:val="00B75342"/>
    <w:rsid w:val="00B7583D"/>
    <w:rsid w:val="00B75AA6"/>
    <w:rsid w:val="00B75D7B"/>
    <w:rsid w:val="00B76B60"/>
    <w:rsid w:val="00B76E26"/>
    <w:rsid w:val="00B80950"/>
    <w:rsid w:val="00B812CA"/>
    <w:rsid w:val="00B814AD"/>
    <w:rsid w:val="00B81713"/>
    <w:rsid w:val="00B8177E"/>
    <w:rsid w:val="00B81B6C"/>
    <w:rsid w:val="00B81F7F"/>
    <w:rsid w:val="00B82239"/>
    <w:rsid w:val="00B822F1"/>
    <w:rsid w:val="00B836F7"/>
    <w:rsid w:val="00B84629"/>
    <w:rsid w:val="00B85667"/>
    <w:rsid w:val="00B87426"/>
    <w:rsid w:val="00B87924"/>
    <w:rsid w:val="00B90287"/>
    <w:rsid w:val="00B92E25"/>
    <w:rsid w:val="00B938BE"/>
    <w:rsid w:val="00B93987"/>
    <w:rsid w:val="00B93D97"/>
    <w:rsid w:val="00B94459"/>
    <w:rsid w:val="00B94CD3"/>
    <w:rsid w:val="00B94F1B"/>
    <w:rsid w:val="00B95343"/>
    <w:rsid w:val="00B95EDE"/>
    <w:rsid w:val="00B9750D"/>
    <w:rsid w:val="00B97E80"/>
    <w:rsid w:val="00BA04EE"/>
    <w:rsid w:val="00BA07B9"/>
    <w:rsid w:val="00BA0B46"/>
    <w:rsid w:val="00BA0ED6"/>
    <w:rsid w:val="00BA2459"/>
    <w:rsid w:val="00BA2914"/>
    <w:rsid w:val="00BA33FF"/>
    <w:rsid w:val="00BA47F5"/>
    <w:rsid w:val="00BA4936"/>
    <w:rsid w:val="00BA54FA"/>
    <w:rsid w:val="00BA601C"/>
    <w:rsid w:val="00BA61A5"/>
    <w:rsid w:val="00BA638E"/>
    <w:rsid w:val="00BA683F"/>
    <w:rsid w:val="00BA78BF"/>
    <w:rsid w:val="00BB06F8"/>
    <w:rsid w:val="00BB0DA0"/>
    <w:rsid w:val="00BB159D"/>
    <w:rsid w:val="00BB19AD"/>
    <w:rsid w:val="00BB1A37"/>
    <w:rsid w:val="00BB24DF"/>
    <w:rsid w:val="00BB2953"/>
    <w:rsid w:val="00BB2F04"/>
    <w:rsid w:val="00BB324B"/>
    <w:rsid w:val="00BB3BB0"/>
    <w:rsid w:val="00BB403E"/>
    <w:rsid w:val="00BB4690"/>
    <w:rsid w:val="00BB4EF2"/>
    <w:rsid w:val="00BB52A9"/>
    <w:rsid w:val="00BB6890"/>
    <w:rsid w:val="00BB6BD1"/>
    <w:rsid w:val="00BB70B6"/>
    <w:rsid w:val="00BB76D1"/>
    <w:rsid w:val="00BC0404"/>
    <w:rsid w:val="00BC0562"/>
    <w:rsid w:val="00BC1AF7"/>
    <w:rsid w:val="00BC24C3"/>
    <w:rsid w:val="00BC3026"/>
    <w:rsid w:val="00BC41C2"/>
    <w:rsid w:val="00BC4B96"/>
    <w:rsid w:val="00BC4C04"/>
    <w:rsid w:val="00BC5D65"/>
    <w:rsid w:val="00BC6305"/>
    <w:rsid w:val="00BC6AEA"/>
    <w:rsid w:val="00BD0865"/>
    <w:rsid w:val="00BD142E"/>
    <w:rsid w:val="00BD159F"/>
    <w:rsid w:val="00BD1EAA"/>
    <w:rsid w:val="00BD2488"/>
    <w:rsid w:val="00BD34D4"/>
    <w:rsid w:val="00BD36A9"/>
    <w:rsid w:val="00BD3B11"/>
    <w:rsid w:val="00BD41DA"/>
    <w:rsid w:val="00BD4A66"/>
    <w:rsid w:val="00BD5524"/>
    <w:rsid w:val="00BD59D3"/>
    <w:rsid w:val="00BD5D19"/>
    <w:rsid w:val="00BD60E0"/>
    <w:rsid w:val="00BD6CDD"/>
    <w:rsid w:val="00BD6F48"/>
    <w:rsid w:val="00BD7C96"/>
    <w:rsid w:val="00BD7E58"/>
    <w:rsid w:val="00BD7E7F"/>
    <w:rsid w:val="00BD7FDE"/>
    <w:rsid w:val="00BE20B8"/>
    <w:rsid w:val="00BE282F"/>
    <w:rsid w:val="00BE299A"/>
    <w:rsid w:val="00BE32AA"/>
    <w:rsid w:val="00BE38AC"/>
    <w:rsid w:val="00BE420C"/>
    <w:rsid w:val="00BE44FA"/>
    <w:rsid w:val="00BE5C10"/>
    <w:rsid w:val="00BE5D0D"/>
    <w:rsid w:val="00BE5E9F"/>
    <w:rsid w:val="00BE711E"/>
    <w:rsid w:val="00BE7593"/>
    <w:rsid w:val="00BF09B8"/>
    <w:rsid w:val="00BF0F6F"/>
    <w:rsid w:val="00BF1026"/>
    <w:rsid w:val="00BF2A3D"/>
    <w:rsid w:val="00BF3206"/>
    <w:rsid w:val="00BF38CC"/>
    <w:rsid w:val="00BF3C71"/>
    <w:rsid w:val="00BF4726"/>
    <w:rsid w:val="00BF476B"/>
    <w:rsid w:val="00BF4888"/>
    <w:rsid w:val="00BF552A"/>
    <w:rsid w:val="00BF64DD"/>
    <w:rsid w:val="00BF670D"/>
    <w:rsid w:val="00BF6BC2"/>
    <w:rsid w:val="00BF7C5E"/>
    <w:rsid w:val="00C01452"/>
    <w:rsid w:val="00C01B08"/>
    <w:rsid w:val="00C01C3D"/>
    <w:rsid w:val="00C02535"/>
    <w:rsid w:val="00C0399A"/>
    <w:rsid w:val="00C03E01"/>
    <w:rsid w:val="00C0483F"/>
    <w:rsid w:val="00C04C14"/>
    <w:rsid w:val="00C0554A"/>
    <w:rsid w:val="00C060D1"/>
    <w:rsid w:val="00C07885"/>
    <w:rsid w:val="00C1003C"/>
    <w:rsid w:val="00C10BA8"/>
    <w:rsid w:val="00C10C06"/>
    <w:rsid w:val="00C111D6"/>
    <w:rsid w:val="00C11447"/>
    <w:rsid w:val="00C12C3A"/>
    <w:rsid w:val="00C12DDC"/>
    <w:rsid w:val="00C12FB9"/>
    <w:rsid w:val="00C12FF5"/>
    <w:rsid w:val="00C1412E"/>
    <w:rsid w:val="00C14217"/>
    <w:rsid w:val="00C14E6B"/>
    <w:rsid w:val="00C15490"/>
    <w:rsid w:val="00C155BE"/>
    <w:rsid w:val="00C15805"/>
    <w:rsid w:val="00C15CB1"/>
    <w:rsid w:val="00C1696E"/>
    <w:rsid w:val="00C17030"/>
    <w:rsid w:val="00C17C21"/>
    <w:rsid w:val="00C20C67"/>
    <w:rsid w:val="00C21CCB"/>
    <w:rsid w:val="00C21F97"/>
    <w:rsid w:val="00C22112"/>
    <w:rsid w:val="00C22201"/>
    <w:rsid w:val="00C222D1"/>
    <w:rsid w:val="00C22DFD"/>
    <w:rsid w:val="00C2327A"/>
    <w:rsid w:val="00C232C8"/>
    <w:rsid w:val="00C23484"/>
    <w:rsid w:val="00C23E3F"/>
    <w:rsid w:val="00C23FED"/>
    <w:rsid w:val="00C247EE"/>
    <w:rsid w:val="00C24B40"/>
    <w:rsid w:val="00C25262"/>
    <w:rsid w:val="00C25307"/>
    <w:rsid w:val="00C257EB"/>
    <w:rsid w:val="00C26A5A"/>
    <w:rsid w:val="00C300F6"/>
    <w:rsid w:val="00C306AE"/>
    <w:rsid w:val="00C30EAB"/>
    <w:rsid w:val="00C313A8"/>
    <w:rsid w:val="00C325AA"/>
    <w:rsid w:val="00C32FEE"/>
    <w:rsid w:val="00C336D0"/>
    <w:rsid w:val="00C33912"/>
    <w:rsid w:val="00C33C21"/>
    <w:rsid w:val="00C34D8A"/>
    <w:rsid w:val="00C351D8"/>
    <w:rsid w:val="00C351E6"/>
    <w:rsid w:val="00C352DB"/>
    <w:rsid w:val="00C35CD4"/>
    <w:rsid w:val="00C35E7B"/>
    <w:rsid w:val="00C35FA3"/>
    <w:rsid w:val="00C36211"/>
    <w:rsid w:val="00C37AE1"/>
    <w:rsid w:val="00C4126F"/>
    <w:rsid w:val="00C412AC"/>
    <w:rsid w:val="00C412D3"/>
    <w:rsid w:val="00C415A4"/>
    <w:rsid w:val="00C4267F"/>
    <w:rsid w:val="00C43202"/>
    <w:rsid w:val="00C43717"/>
    <w:rsid w:val="00C4534B"/>
    <w:rsid w:val="00C45E2A"/>
    <w:rsid w:val="00C46CA6"/>
    <w:rsid w:val="00C47E03"/>
    <w:rsid w:val="00C5031E"/>
    <w:rsid w:val="00C50EB8"/>
    <w:rsid w:val="00C51038"/>
    <w:rsid w:val="00C51FF3"/>
    <w:rsid w:val="00C52111"/>
    <w:rsid w:val="00C52D6D"/>
    <w:rsid w:val="00C52E0D"/>
    <w:rsid w:val="00C53115"/>
    <w:rsid w:val="00C54448"/>
    <w:rsid w:val="00C5488F"/>
    <w:rsid w:val="00C55A2F"/>
    <w:rsid w:val="00C56D6A"/>
    <w:rsid w:val="00C57283"/>
    <w:rsid w:val="00C60D18"/>
    <w:rsid w:val="00C61150"/>
    <w:rsid w:val="00C620AF"/>
    <w:rsid w:val="00C6236F"/>
    <w:rsid w:val="00C63B81"/>
    <w:rsid w:val="00C63E12"/>
    <w:rsid w:val="00C6577B"/>
    <w:rsid w:val="00C65856"/>
    <w:rsid w:val="00C673FB"/>
    <w:rsid w:val="00C67678"/>
    <w:rsid w:val="00C679D0"/>
    <w:rsid w:val="00C7002E"/>
    <w:rsid w:val="00C70114"/>
    <w:rsid w:val="00C701C9"/>
    <w:rsid w:val="00C7077A"/>
    <w:rsid w:val="00C71BE0"/>
    <w:rsid w:val="00C724BA"/>
    <w:rsid w:val="00C72651"/>
    <w:rsid w:val="00C726C9"/>
    <w:rsid w:val="00C72A06"/>
    <w:rsid w:val="00C73B63"/>
    <w:rsid w:val="00C747BC"/>
    <w:rsid w:val="00C74B5A"/>
    <w:rsid w:val="00C74C05"/>
    <w:rsid w:val="00C74D06"/>
    <w:rsid w:val="00C75905"/>
    <w:rsid w:val="00C76104"/>
    <w:rsid w:val="00C80036"/>
    <w:rsid w:val="00C80B80"/>
    <w:rsid w:val="00C82F39"/>
    <w:rsid w:val="00C83DCB"/>
    <w:rsid w:val="00C85B5B"/>
    <w:rsid w:val="00C8642D"/>
    <w:rsid w:val="00C8686C"/>
    <w:rsid w:val="00C8688A"/>
    <w:rsid w:val="00C86D7D"/>
    <w:rsid w:val="00C90067"/>
    <w:rsid w:val="00C9058C"/>
    <w:rsid w:val="00C90A88"/>
    <w:rsid w:val="00C910CC"/>
    <w:rsid w:val="00C9202E"/>
    <w:rsid w:val="00C9242E"/>
    <w:rsid w:val="00C9270A"/>
    <w:rsid w:val="00C9317A"/>
    <w:rsid w:val="00C949F0"/>
    <w:rsid w:val="00C958EB"/>
    <w:rsid w:val="00C960C0"/>
    <w:rsid w:val="00C96E11"/>
    <w:rsid w:val="00C97ACF"/>
    <w:rsid w:val="00C97B4F"/>
    <w:rsid w:val="00CA08E7"/>
    <w:rsid w:val="00CA2005"/>
    <w:rsid w:val="00CA2853"/>
    <w:rsid w:val="00CA2EC6"/>
    <w:rsid w:val="00CA31B3"/>
    <w:rsid w:val="00CA3A70"/>
    <w:rsid w:val="00CA3E26"/>
    <w:rsid w:val="00CA40A4"/>
    <w:rsid w:val="00CA4361"/>
    <w:rsid w:val="00CA631A"/>
    <w:rsid w:val="00CA68E9"/>
    <w:rsid w:val="00CA6A29"/>
    <w:rsid w:val="00CA6DBB"/>
    <w:rsid w:val="00CA73A4"/>
    <w:rsid w:val="00CA74E5"/>
    <w:rsid w:val="00CA7600"/>
    <w:rsid w:val="00CB0028"/>
    <w:rsid w:val="00CB0371"/>
    <w:rsid w:val="00CB060A"/>
    <w:rsid w:val="00CB081E"/>
    <w:rsid w:val="00CB1128"/>
    <w:rsid w:val="00CB1909"/>
    <w:rsid w:val="00CB4121"/>
    <w:rsid w:val="00CB5359"/>
    <w:rsid w:val="00CB55E3"/>
    <w:rsid w:val="00CB5A01"/>
    <w:rsid w:val="00CB6452"/>
    <w:rsid w:val="00CB6F80"/>
    <w:rsid w:val="00CB7069"/>
    <w:rsid w:val="00CC1673"/>
    <w:rsid w:val="00CC32F1"/>
    <w:rsid w:val="00CC34BC"/>
    <w:rsid w:val="00CC390D"/>
    <w:rsid w:val="00CC4433"/>
    <w:rsid w:val="00CC485C"/>
    <w:rsid w:val="00CC49BF"/>
    <w:rsid w:val="00CC4BB2"/>
    <w:rsid w:val="00CC5269"/>
    <w:rsid w:val="00CC5E33"/>
    <w:rsid w:val="00CC5E8F"/>
    <w:rsid w:val="00CC6492"/>
    <w:rsid w:val="00CC6D32"/>
    <w:rsid w:val="00CC70E9"/>
    <w:rsid w:val="00CC7129"/>
    <w:rsid w:val="00CC7671"/>
    <w:rsid w:val="00CC7C62"/>
    <w:rsid w:val="00CD0570"/>
    <w:rsid w:val="00CD0703"/>
    <w:rsid w:val="00CD1AA6"/>
    <w:rsid w:val="00CD20C5"/>
    <w:rsid w:val="00CD2191"/>
    <w:rsid w:val="00CD2705"/>
    <w:rsid w:val="00CD3460"/>
    <w:rsid w:val="00CD38ED"/>
    <w:rsid w:val="00CD4EE7"/>
    <w:rsid w:val="00CD5A20"/>
    <w:rsid w:val="00CD7141"/>
    <w:rsid w:val="00CD7550"/>
    <w:rsid w:val="00CD771B"/>
    <w:rsid w:val="00CE0912"/>
    <w:rsid w:val="00CE0CBD"/>
    <w:rsid w:val="00CE0DCE"/>
    <w:rsid w:val="00CE0F15"/>
    <w:rsid w:val="00CE1487"/>
    <w:rsid w:val="00CE1D94"/>
    <w:rsid w:val="00CE2008"/>
    <w:rsid w:val="00CE2418"/>
    <w:rsid w:val="00CE24B0"/>
    <w:rsid w:val="00CE27B9"/>
    <w:rsid w:val="00CE3404"/>
    <w:rsid w:val="00CE3715"/>
    <w:rsid w:val="00CE4D9C"/>
    <w:rsid w:val="00CE5191"/>
    <w:rsid w:val="00CE547C"/>
    <w:rsid w:val="00CE55A8"/>
    <w:rsid w:val="00CE5BD0"/>
    <w:rsid w:val="00CE69BD"/>
    <w:rsid w:val="00CE69BF"/>
    <w:rsid w:val="00CE6A43"/>
    <w:rsid w:val="00CE749D"/>
    <w:rsid w:val="00CE7D84"/>
    <w:rsid w:val="00CF0556"/>
    <w:rsid w:val="00CF0B08"/>
    <w:rsid w:val="00CF0E0A"/>
    <w:rsid w:val="00CF11F5"/>
    <w:rsid w:val="00CF16DB"/>
    <w:rsid w:val="00CF401D"/>
    <w:rsid w:val="00CF4367"/>
    <w:rsid w:val="00CF4A50"/>
    <w:rsid w:val="00CF4E60"/>
    <w:rsid w:val="00CF54A1"/>
    <w:rsid w:val="00CF5D66"/>
    <w:rsid w:val="00CF5D76"/>
    <w:rsid w:val="00CF5F77"/>
    <w:rsid w:val="00CF638F"/>
    <w:rsid w:val="00CF74EF"/>
    <w:rsid w:val="00CF7A66"/>
    <w:rsid w:val="00CF7FE6"/>
    <w:rsid w:val="00D010B9"/>
    <w:rsid w:val="00D0123A"/>
    <w:rsid w:val="00D022CB"/>
    <w:rsid w:val="00D02BFF"/>
    <w:rsid w:val="00D02D97"/>
    <w:rsid w:val="00D03A3D"/>
    <w:rsid w:val="00D0440C"/>
    <w:rsid w:val="00D0458F"/>
    <w:rsid w:val="00D04924"/>
    <w:rsid w:val="00D04E5A"/>
    <w:rsid w:val="00D05507"/>
    <w:rsid w:val="00D05ADF"/>
    <w:rsid w:val="00D05D32"/>
    <w:rsid w:val="00D064A6"/>
    <w:rsid w:val="00D0748A"/>
    <w:rsid w:val="00D075E7"/>
    <w:rsid w:val="00D078BB"/>
    <w:rsid w:val="00D07911"/>
    <w:rsid w:val="00D10AAB"/>
    <w:rsid w:val="00D11BA4"/>
    <w:rsid w:val="00D14262"/>
    <w:rsid w:val="00D15E21"/>
    <w:rsid w:val="00D16141"/>
    <w:rsid w:val="00D176D0"/>
    <w:rsid w:val="00D17A1B"/>
    <w:rsid w:val="00D17AEE"/>
    <w:rsid w:val="00D201B6"/>
    <w:rsid w:val="00D20DB3"/>
    <w:rsid w:val="00D20F55"/>
    <w:rsid w:val="00D22A2B"/>
    <w:rsid w:val="00D22E7A"/>
    <w:rsid w:val="00D23094"/>
    <w:rsid w:val="00D23BF0"/>
    <w:rsid w:val="00D23C74"/>
    <w:rsid w:val="00D240A2"/>
    <w:rsid w:val="00D241CD"/>
    <w:rsid w:val="00D24544"/>
    <w:rsid w:val="00D24AA1"/>
    <w:rsid w:val="00D24AEE"/>
    <w:rsid w:val="00D24C08"/>
    <w:rsid w:val="00D256CB"/>
    <w:rsid w:val="00D257F9"/>
    <w:rsid w:val="00D27890"/>
    <w:rsid w:val="00D27963"/>
    <w:rsid w:val="00D279EE"/>
    <w:rsid w:val="00D304D8"/>
    <w:rsid w:val="00D308B8"/>
    <w:rsid w:val="00D3119F"/>
    <w:rsid w:val="00D315AE"/>
    <w:rsid w:val="00D31A36"/>
    <w:rsid w:val="00D3244C"/>
    <w:rsid w:val="00D33D72"/>
    <w:rsid w:val="00D340CD"/>
    <w:rsid w:val="00D343A3"/>
    <w:rsid w:val="00D34CAC"/>
    <w:rsid w:val="00D355CA"/>
    <w:rsid w:val="00D359B0"/>
    <w:rsid w:val="00D35EDF"/>
    <w:rsid w:val="00D3614F"/>
    <w:rsid w:val="00D3776E"/>
    <w:rsid w:val="00D378A2"/>
    <w:rsid w:val="00D37AA1"/>
    <w:rsid w:val="00D37DDE"/>
    <w:rsid w:val="00D417C3"/>
    <w:rsid w:val="00D41C42"/>
    <w:rsid w:val="00D41F7F"/>
    <w:rsid w:val="00D4201B"/>
    <w:rsid w:val="00D43B0B"/>
    <w:rsid w:val="00D44966"/>
    <w:rsid w:val="00D45E30"/>
    <w:rsid w:val="00D5098C"/>
    <w:rsid w:val="00D50CCB"/>
    <w:rsid w:val="00D51C4B"/>
    <w:rsid w:val="00D51D4F"/>
    <w:rsid w:val="00D52E72"/>
    <w:rsid w:val="00D530DE"/>
    <w:rsid w:val="00D533CA"/>
    <w:rsid w:val="00D545E3"/>
    <w:rsid w:val="00D55675"/>
    <w:rsid w:val="00D562BC"/>
    <w:rsid w:val="00D569DB"/>
    <w:rsid w:val="00D56D70"/>
    <w:rsid w:val="00D56D8F"/>
    <w:rsid w:val="00D57410"/>
    <w:rsid w:val="00D57AE5"/>
    <w:rsid w:val="00D6036B"/>
    <w:rsid w:val="00D637B7"/>
    <w:rsid w:val="00D6462D"/>
    <w:rsid w:val="00D65052"/>
    <w:rsid w:val="00D650A5"/>
    <w:rsid w:val="00D65295"/>
    <w:rsid w:val="00D6547B"/>
    <w:rsid w:val="00D6567C"/>
    <w:rsid w:val="00D66627"/>
    <w:rsid w:val="00D6697C"/>
    <w:rsid w:val="00D67874"/>
    <w:rsid w:val="00D70BCE"/>
    <w:rsid w:val="00D72428"/>
    <w:rsid w:val="00D72A3C"/>
    <w:rsid w:val="00D735F0"/>
    <w:rsid w:val="00D74255"/>
    <w:rsid w:val="00D7470B"/>
    <w:rsid w:val="00D74F49"/>
    <w:rsid w:val="00D74F60"/>
    <w:rsid w:val="00D75E1B"/>
    <w:rsid w:val="00D7633A"/>
    <w:rsid w:val="00D776B9"/>
    <w:rsid w:val="00D77875"/>
    <w:rsid w:val="00D80858"/>
    <w:rsid w:val="00D808D0"/>
    <w:rsid w:val="00D808E2"/>
    <w:rsid w:val="00D80940"/>
    <w:rsid w:val="00D81DC3"/>
    <w:rsid w:val="00D81E0A"/>
    <w:rsid w:val="00D81E0B"/>
    <w:rsid w:val="00D82ADB"/>
    <w:rsid w:val="00D82C2E"/>
    <w:rsid w:val="00D82EE6"/>
    <w:rsid w:val="00D83409"/>
    <w:rsid w:val="00D83597"/>
    <w:rsid w:val="00D83FB0"/>
    <w:rsid w:val="00D8428C"/>
    <w:rsid w:val="00D8436A"/>
    <w:rsid w:val="00D84C03"/>
    <w:rsid w:val="00D84C1B"/>
    <w:rsid w:val="00D87257"/>
    <w:rsid w:val="00D90C94"/>
    <w:rsid w:val="00D9109A"/>
    <w:rsid w:val="00D912EA"/>
    <w:rsid w:val="00D9201D"/>
    <w:rsid w:val="00D928E5"/>
    <w:rsid w:val="00D92D80"/>
    <w:rsid w:val="00D92FE1"/>
    <w:rsid w:val="00D93171"/>
    <w:rsid w:val="00D9470B"/>
    <w:rsid w:val="00D94960"/>
    <w:rsid w:val="00D94D78"/>
    <w:rsid w:val="00D9564C"/>
    <w:rsid w:val="00D964E1"/>
    <w:rsid w:val="00D96CED"/>
    <w:rsid w:val="00D977A0"/>
    <w:rsid w:val="00D97E9A"/>
    <w:rsid w:val="00DA2091"/>
    <w:rsid w:val="00DA25D0"/>
    <w:rsid w:val="00DA318B"/>
    <w:rsid w:val="00DA452B"/>
    <w:rsid w:val="00DA483F"/>
    <w:rsid w:val="00DA51DA"/>
    <w:rsid w:val="00DA556C"/>
    <w:rsid w:val="00DA5890"/>
    <w:rsid w:val="00DA593D"/>
    <w:rsid w:val="00DA685E"/>
    <w:rsid w:val="00DB08B6"/>
    <w:rsid w:val="00DB13AB"/>
    <w:rsid w:val="00DB1DBA"/>
    <w:rsid w:val="00DB1E38"/>
    <w:rsid w:val="00DB310D"/>
    <w:rsid w:val="00DB362D"/>
    <w:rsid w:val="00DB365E"/>
    <w:rsid w:val="00DB3896"/>
    <w:rsid w:val="00DB3A01"/>
    <w:rsid w:val="00DB56E2"/>
    <w:rsid w:val="00DB77FD"/>
    <w:rsid w:val="00DC095B"/>
    <w:rsid w:val="00DC0B58"/>
    <w:rsid w:val="00DC0E29"/>
    <w:rsid w:val="00DC1A42"/>
    <w:rsid w:val="00DC1F7E"/>
    <w:rsid w:val="00DC3B73"/>
    <w:rsid w:val="00DC4344"/>
    <w:rsid w:val="00DC458A"/>
    <w:rsid w:val="00DC4A6A"/>
    <w:rsid w:val="00DC5801"/>
    <w:rsid w:val="00DC6234"/>
    <w:rsid w:val="00DC6A36"/>
    <w:rsid w:val="00DC6C1F"/>
    <w:rsid w:val="00DC6DAF"/>
    <w:rsid w:val="00DC6DE5"/>
    <w:rsid w:val="00DC6F91"/>
    <w:rsid w:val="00DC76A8"/>
    <w:rsid w:val="00DC7B8C"/>
    <w:rsid w:val="00DC7C9A"/>
    <w:rsid w:val="00DD012E"/>
    <w:rsid w:val="00DD11AD"/>
    <w:rsid w:val="00DD2B05"/>
    <w:rsid w:val="00DD2EE1"/>
    <w:rsid w:val="00DD4719"/>
    <w:rsid w:val="00DD4F3F"/>
    <w:rsid w:val="00DD51B1"/>
    <w:rsid w:val="00DD5319"/>
    <w:rsid w:val="00DD7D73"/>
    <w:rsid w:val="00DE044F"/>
    <w:rsid w:val="00DE1863"/>
    <w:rsid w:val="00DE27DF"/>
    <w:rsid w:val="00DE376F"/>
    <w:rsid w:val="00DE3784"/>
    <w:rsid w:val="00DE4402"/>
    <w:rsid w:val="00DE47ED"/>
    <w:rsid w:val="00DE4E1B"/>
    <w:rsid w:val="00DE5437"/>
    <w:rsid w:val="00DE5455"/>
    <w:rsid w:val="00DE6C2B"/>
    <w:rsid w:val="00DE6FAB"/>
    <w:rsid w:val="00DE76FA"/>
    <w:rsid w:val="00DF0DAA"/>
    <w:rsid w:val="00DF1074"/>
    <w:rsid w:val="00DF157B"/>
    <w:rsid w:val="00DF17C3"/>
    <w:rsid w:val="00DF3332"/>
    <w:rsid w:val="00DF362F"/>
    <w:rsid w:val="00DF3A63"/>
    <w:rsid w:val="00DF3C7E"/>
    <w:rsid w:val="00DF3E4A"/>
    <w:rsid w:val="00DF44FA"/>
    <w:rsid w:val="00DF55BE"/>
    <w:rsid w:val="00DF71EF"/>
    <w:rsid w:val="00DF788D"/>
    <w:rsid w:val="00DF7AB3"/>
    <w:rsid w:val="00E00428"/>
    <w:rsid w:val="00E00AE2"/>
    <w:rsid w:val="00E00DFB"/>
    <w:rsid w:val="00E01760"/>
    <w:rsid w:val="00E0211E"/>
    <w:rsid w:val="00E037A4"/>
    <w:rsid w:val="00E05721"/>
    <w:rsid w:val="00E05B8A"/>
    <w:rsid w:val="00E063D7"/>
    <w:rsid w:val="00E06AA8"/>
    <w:rsid w:val="00E10073"/>
    <w:rsid w:val="00E10499"/>
    <w:rsid w:val="00E1066B"/>
    <w:rsid w:val="00E109D2"/>
    <w:rsid w:val="00E118CB"/>
    <w:rsid w:val="00E1286A"/>
    <w:rsid w:val="00E141DC"/>
    <w:rsid w:val="00E14EC5"/>
    <w:rsid w:val="00E1563B"/>
    <w:rsid w:val="00E166DF"/>
    <w:rsid w:val="00E17B65"/>
    <w:rsid w:val="00E2007F"/>
    <w:rsid w:val="00E20253"/>
    <w:rsid w:val="00E20472"/>
    <w:rsid w:val="00E20BA9"/>
    <w:rsid w:val="00E20D32"/>
    <w:rsid w:val="00E20D7B"/>
    <w:rsid w:val="00E217B1"/>
    <w:rsid w:val="00E21BC9"/>
    <w:rsid w:val="00E220CA"/>
    <w:rsid w:val="00E228B4"/>
    <w:rsid w:val="00E22F03"/>
    <w:rsid w:val="00E23866"/>
    <w:rsid w:val="00E23CB0"/>
    <w:rsid w:val="00E23D87"/>
    <w:rsid w:val="00E24950"/>
    <w:rsid w:val="00E24967"/>
    <w:rsid w:val="00E26A63"/>
    <w:rsid w:val="00E26DAF"/>
    <w:rsid w:val="00E3006E"/>
    <w:rsid w:val="00E30455"/>
    <w:rsid w:val="00E3115B"/>
    <w:rsid w:val="00E31639"/>
    <w:rsid w:val="00E31A92"/>
    <w:rsid w:val="00E321BB"/>
    <w:rsid w:val="00E32A57"/>
    <w:rsid w:val="00E32FB8"/>
    <w:rsid w:val="00E339DB"/>
    <w:rsid w:val="00E33C35"/>
    <w:rsid w:val="00E3449E"/>
    <w:rsid w:val="00E3455D"/>
    <w:rsid w:val="00E35A77"/>
    <w:rsid w:val="00E3712E"/>
    <w:rsid w:val="00E40374"/>
    <w:rsid w:val="00E40842"/>
    <w:rsid w:val="00E40B1A"/>
    <w:rsid w:val="00E41EAF"/>
    <w:rsid w:val="00E42142"/>
    <w:rsid w:val="00E428F4"/>
    <w:rsid w:val="00E42AE4"/>
    <w:rsid w:val="00E42E7A"/>
    <w:rsid w:val="00E43106"/>
    <w:rsid w:val="00E4350A"/>
    <w:rsid w:val="00E436A3"/>
    <w:rsid w:val="00E438AF"/>
    <w:rsid w:val="00E4393D"/>
    <w:rsid w:val="00E44CEA"/>
    <w:rsid w:val="00E45A9E"/>
    <w:rsid w:val="00E45D82"/>
    <w:rsid w:val="00E4604D"/>
    <w:rsid w:val="00E46109"/>
    <w:rsid w:val="00E46AAF"/>
    <w:rsid w:val="00E50191"/>
    <w:rsid w:val="00E50207"/>
    <w:rsid w:val="00E504F1"/>
    <w:rsid w:val="00E50A34"/>
    <w:rsid w:val="00E50C9A"/>
    <w:rsid w:val="00E5120A"/>
    <w:rsid w:val="00E515AC"/>
    <w:rsid w:val="00E52103"/>
    <w:rsid w:val="00E525CA"/>
    <w:rsid w:val="00E52B2F"/>
    <w:rsid w:val="00E54163"/>
    <w:rsid w:val="00E542EC"/>
    <w:rsid w:val="00E54E1D"/>
    <w:rsid w:val="00E56305"/>
    <w:rsid w:val="00E56420"/>
    <w:rsid w:val="00E576EF"/>
    <w:rsid w:val="00E57C0B"/>
    <w:rsid w:val="00E57D7F"/>
    <w:rsid w:val="00E605A0"/>
    <w:rsid w:val="00E6109E"/>
    <w:rsid w:val="00E6152E"/>
    <w:rsid w:val="00E6206F"/>
    <w:rsid w:val="00E62F30"/>
    <w:rsid w:val="00E63449"/>
    <w:rsid w:val="00E63F09"/>
    <w:rsid w:val="00E63FC0"/>
    <w:rsid w:val="00E640D1"/>
    <w:rsid w:val="00E64E66"/>
    <w:rsid w:val="00E64FB9"/>
    <w:rsid w:val="00E65475"/>
    <w:rsid w:val="00E65911"/>
    <w:rsid w:val="00E662DC"/>
    <w:rsid w:val="00E66BAC"/>
    <w:rsid w:val="00E67BD0"/>
    <w:rsid w:val="00E704FC"/>
    <w:rsid w:val="00E72959"/>
    <w:rsid w:val="00E732BE"/>
    <w:rsid w:val="00E73628"/>
    <w:rsid w:val="00E73CE2"/>
    <w:rsid w:val="00E74136"/>
    <w:rsid w:val="00E74CE7"/>
    <w:rsid w:val="00E7524F"/>
    <w:rsid w:val="00E75547"/>
    <w:rsid w:val="00E76F47"/>
    <w:rsid w:val="00E77262"/>
    <w:rsid w:val="00E77BE4"/>
    <w:rsid w:val="00E77F9A"/>
    <w:rsid w:val="00E80B3F"/>
    <w:rsid w:val="00E8122E"/>
    <w:rsid w:val="00E81C94"/>
    <w:rsid w:val="00E8355A"/>
    <w:rsid w:val="00E84676"/>
    <w:rsid w:val="00E8477C"/>
    <w:rsid w:val="00E84857"/>
    <w:rsid w:val="00E84C5A"/>
    <w:rsid w:val="00E84D5C"/>
    <w:rsid w:val="00E85B70"/>
    <w:rsid w:val="00E86194"/>
    <w:rsid w:val="00E866D2"/>
    <w:rsid w:val="00E86C31"/>
    <w:rsid w:val="00E87699"/>
    <w:rsid w:val="00E90037"/>
    <w:rsid w:val="00E90DA2"/>
    <w:rsid w:val="00E915DD"/>
    <w:rsid w:val="00E92B2E"/>
    <w:rsid w:val="00E92CA3"/>
    <w:rsid w:val="00E94CD2"/>
    <w:rsid w:val="00E958DD"/>
    <w:rsid w:val="00E9677F"/>
    <w:rsid w:val="00E96785"/>
    <w:rsid w:val="00E96AC5"/>
    <w:rsid w:val="00E97454"/>
    <w:rsid w:val="00E9746A"/>
    <w:rsid w:val="00E97A1A"/>
    <w:rsid w:val="00EA0F8F"/>
    <w:rsid w:val="00EA17A2"/>
    <w:rsid w:val="00EA3F8E"/>
    <w:rsid w:val="00EA57BE"/>
    <w:rsid w:val="00EA58A5"/>
    <w:rsid w:val="00EA6AD7"/>
    <w:rsid w:val="00EA6C7F"/>
    <w:rsid w:val="00EA7021"/>
    <w:rsid w:val="00EA7816"/>
    <w:rsid w:val="00EB102C"/>
    <w:rsid w:val="00EB21B7"/>
    <w:rsid w:val="00EB2B64"/>
    <w:rsid w:val="00EB30CA"/>
    <w:rsid w:val="00EB3353"/>
    <w:rsid w:val="00EB38C0"/>
    <w:rsid w:val="00EB5485"/>
    <w:rsid w:val="00EB753C"/>
    <w:rsid w:val="00EB7B08"/>
    <w:rsid w:val="00EC0577"/>
    <w:rsid w:val="00EC0590"/>
    <w:rsid w:val="00EC1981"/>
    <w:rsid w:val="00EC2206"/>
    <w:rsid w:val="00EC2963"/>
    <w:rsid w:val="00EC2A6D"/>
    <w:rsid w:val="00EC2AFB"/>
    <w:rsid w:val="00EC3B41"/>
    <w:rsid w:val="00EC4991"/>
    <w:rsid w:val="00EC4D92"/>
    <w:rsid w:val="00EC524E"/>
    <w:rsid w:val="00EC5567"/>
    <w:rsid w:val="00EC594A"/>
    <w:rsid w:val="00EC5D6F"/>
    <w:rsid w:val="00EC6117"/>
    <w:rsid w:val="00EC6860"/>
    <w:rsid w:val="00EC6B27"/>
    <w:rsid w:val="00EC6EA0"/>
    <w:rsid w:val="00EC7D1B"/>
    <w:rsid w:val="00ED0076"/>
    <w:rsid w:val="00ED02D5"/>
    <w:rsid w:val="00ED0535"/>
    <w:rsid w:val="00ED12AD"/>
    <w:rsid w:val="00ED1BDC"/>
    <w:rsid w:val="00ED30B5"/>
    <w:rsid w:val="00ED3208"/>
    <w:rsid w:val="00ED3FC3"/>
    <w:rsid w:val="00ED5C24"/>
    <w:rsid w:val="00ED5E2A"/>
    <w:rsid w:val="00EE103C"/>
    <w:rsid w:val="00EE1219"/>
    <w:rsid w:val="00EE1C4C"/>
    <w:rsid w:val="00EE1C6E"/>
    <w:rsid w:val="00EE223E"/>
    <w:rsid w:val="00EE2CC1"/>
    <w:rsid w:val="00EE32C5"/>
    <w:rsid w:val="00EE34F5"/>
    <w:rsid w:val="00EE4F5A"/>
    <w:rsid w:val="00EE5BFD"/>
    <w:rsid w:val="00EE656D"/>
    <w:rsid w:val="00EE67EA"/>
    <w:rsid w:val="00EE69D0"/>
    <w:rsid w:val="00EE6C8F"/>
    <w:rsid w:val="00EE7515"/>
    <w:rsid w:val="00EE7D66"/>
    <w:rsid w:val="00EF079A"/>
    <w:rsid w:val="00EF0EC7"/>
    <w:rsid w:val="00EF15EF"/>
    <w:rsid w:val="00EF1C73"/>
    <w:rsid w:val="00EF2632"/>
    <w:rsid w:val="00EF3607"/>
    <w:rsid w:val="00EF3725"/>
    <w:rsid w:val="00EF3B76"/>
    <w:rsid w:val="00EF4100"/>
    <w:rsid w:val="00EF4231"/>
    <w:rsid w:val="00EF4CC3"/>
    <w:rsid w:val="00EF5A8E"/>
    <w:rsid w:val="00EF62AC"/>
    <w:rsid w:val="00EF6727"/>
    <w:rsid w:val="00EF6848"/>
    <w:rsid w:val="00EF6C7C"/>
    <w:rsid w:val="00EF73CE"/>
    <w:rsid w:val="00EF7B59"/>
    <w:rsid w:val="00F00022"/>
    <w:rsid w:val="00F006D8"/>
    <w:rsid w:val="00F025AB"/>
    <w:rsid w:val="00F02D7A"/>
    <w:rsid w:val="00F035E7"/>
    <w:rsid w:val="00F0370C"/>
    <w:rsid w:val="00F03A6D"/>
    <w:rsid w:val="00F04DE4"/>
    <w:rsid w:val="00F05529"/>
    <w:rsid w:val="00F05BFC"/>
    <w:rsid w:val="00F05E24"/>
    <w:rsid w:val="00F060AB"/>
    <w:rsid w:val="00F06541"/>
    <w:rsid w:val="00F065CF"/>
    <w:rsid w:val="00F06C0B"/>
    <w:rsid w:val="00F07002"/>
    <w:rsid w:val="00F07533"/>
    <w:rsid w:val="00F07A30"/>
    <w:rsid w:val="00F07D48"/>
    <w:rsid w:val="00F1025F"/>
    <w:rsid w:val="00F10ACF"/>
    <w:rsid w:val="00F10D37"/>
    <w:rsid w:val="00F112A3"/>
    <w:rsid w:val="00F1191B"/>
    <w:rsid w:val="00F11ECB"/>
    <w:rsid w:val="00F122E1"/>
    <w:rsid w:val="00F12992"/>
    <w:rsid w:val="00F12A38"/>
    <w:rsid w:val="00F12BAA"/>
    <w:rsid w:val="00F1302C"/>
    <w:rsid w:val="00F131FC"/>
    <w:rsid w:val="00F136D9"/>
    <w:rsid w:val="00F136F7"/>
    <w:rsid w:val="00F139BE"/>
    <w:rsid w:val="00F13D60"/>
    <w:rsid w:val="00F13FD1"/>
    <w:rsid w:val="00F14768"/>
    <w:rsid w:val="00F14D32"/>
    <w:rsid w:val="00F14D6A"/>
    <w:rsid w:val="00F15813"/>
    <w:rsid w:val="00F16C63"/>
    <w:rsid w:val="00F17538"/>
    <w:rsid w:val="00F17971"/>
    <w:rsid w:val="00F20733"/>
    <w:rsid w:val="00F20E17"/>
    <w:rsid w:val="00F210CC"/>
    <w:rsid w:val="00F226ED"/>
    <w:rsid w:val="00F24077"/>
    <w:rsid w:val="00F240F0"/>
    <w:rsid w:val="00F24213"/>
    <w:rsid w:val="00F2470F"/>
    <w:rsid w:val="00F24740"/>
    <w:rsid w:val="00F24AA7"/>
    <w:rsid w:val="00F24B5C"/>
    <w:rsid w:val="00F24E7A"/>
    <w:rsid w:val="00F25B73"/>
    <w:rsid w:val="00F262BE"/>
    <w:rsid w:val="00F26C77"/>
    <w:rsid w:val="00F30F90"/>
    <w:rsid w:val="00F337CB"/>
    <w:rsid w:val="00F34772"/>
    <w:rsid w:val="00F355DF"/>
    <w:rsid w:val="00F358B6"/>
    <w:rsid w:val="00F35BE7"/>
    <w:rsid w:val="00F35D70"/>
    <w:rsid w:val="00F35E47"/>
    <w:rsid w:val="00F364B7"/>
    <w:rsid w:val="00F36632"/>
    <w:rsid w:val="00F37DD4"/>
    <w:rsid w:val="00F37F80"/>
    <w:rsid w:val="00F40CAD"/>
    <w:rsid w:val="00F41AF1"/>
    <w:rsid w:val="00F42DF3"/>
    <w:rsid w:val="00F42EF7"/>
    <w:rsid w:val="00F4326A"/>
    <w:rsid w:val="00F43842"/>
    <w:rsid w:val="00F43B22"/>
    <w:rsid w:val="00F43CF7"/>
    <w:rsid w:val="00F43EF6"/>
    <w:rsid w:val="00F4424A"/>
    <w:rsid w:val="00F44C74"/>
    <w:rsid w:val="00F44E6E"/>
    <w:rsid w:val="00F452CB"/>
    <w:rsid w:val="00F4675E"/>
    <w:rsid w:val="00F474D0"/>
    <w:rsid w:val="00F50D0B"/>
    <w:rsid w:val="00F51061"/>
    <w:rsid w:val="00F51EF4"/>
    <w:rsid w:val="00F52AE7"/>
    <w:rsid w:val="00F52D65"/>
    <w:rsid w:val="00F54418"/>
    <w:rsid w:val="00F54597"/>
    <w:rsid w:val="00F559BC"/>
    <w:rsid w:val="00F562D0"/>
    <w:rsid w:val="00F56C73"/>
    <w:rsid w:val="00F5706C"/>
    <w:rsid w:val="00F57C16"/>
    <w:rsid w:val="00F61067"/>
    <w:rsid w:val="00F61F01"/>
    <w:rsid w:val="00F62F1A"/>
    <w:rsid w:val="00F6483A"/>
    <w:rsid w:val="00F64D4D"/>
    <w:rsid w:val="00F650E1"/>
    <w:rsid w:val="00F65614"/>
    <w:rsid w:val="00F66485"/>
    <w:rsid w:val="00F6708F"/>
    <w:rsid w:val="00F67427"/>
    <w:rsid w:val="00F67F1F"/>
    <w:rsid w:val="00F70E29"/>
    <w:rsid w:val="00F71316"/>
    <w:rsid w:val="00F71913"/>
    <w:rsid w:val="00F71D93"/>
    <w:rsid w:val="00F73130"/>
    <w:rsid w:val="00F733DE"/>
    <w:rsid w:val="00F73553"/>
    <w:rsid w:val="00F73BD7"/>
    <w:rsid w:val="00F73FAB"/>
    <w:rsid w:val="00F75F48"/>
    <w:rsid w:val="00F7620D"/>
    <w:rsid w:val="00F778E5"/>
    <w:rsid w:val="00F77B88"/>
    <w:rsid w:val="00F77F26"/>
    <w:rsid w:val="00F77F49"/>
    <w:rsid w:val="00F80E29"/>
    <w:rsid w:val="00F81E34"/>
    <w:rsid w:val="00F81E66"/>
    <w:rsid w:val="00F82A94"/>
    <w:rsid w:val="00F82F0F"/>
    <w:rsid w:val="00F833B5"/>
    <w:rsid w:val="00F83B34"/>
    <w:rsid w:val="00F8498A"/>
    <w:rsid w:val="00F85F35"/>
    <w:rsid w:val="00F868FB"/>
    <w:rsid w:val="00F872C3"/>
    <w:rsid w:val="00F877A3"/>
    <w:rsid w:val="00F90151"/>
    <w:rsid w:val="00F90A8D"/>
    <w:rsid w:val="00F94176"/>
    <w:rsid w:val="00F944E3"/>
    <w:rsid w:val="00F94895"/>
    <w:rsid w:val="00F94D78"/>
    <w:rsid w:val="00F95D2C"/>
    <w:rsid w:val="00F95EC1"/>
    <w:rsid w:val="00F95ECE"/>
    <w:rsid w:val="00F95F4B"/>
    <w:rsid w:val="00F96EF2"/>
    <w:rsid w:val="00F97EE2"/>
    <w:rsid w:val="00FA0066"/>
    <w:rsid w:val="00FA0903"/>
    <w:rsid w:val="00FA14EC"/>
    <w:rsid w:val="00FA187C"/>
    <w:rsid w:val="00FA2A8F"/>
    <w:rsid w:val="00FA34FA"/>
    <w:rsid w:val="00FA404E"/>
    <w:rsid w:val="00FA557C"/>
    <w:rsid w:val="00FA5D98"/>
    <w:rsid w:val="00FA646D"/>
    <w:rsid w:val="00FA67AB"/>
    <w:rsid w:val="00FA6FA6"/>
    <w:rsid w:val="00FB018B"/>
    <w:rsid w:val="00FB03DB"/>
    <w:rsid w:val="00FB2BA6"/>
    <w:rsid w:val="00FB4431"/>
    <w:rsid w:val="00FB4CEE"/>
    <w:rsid w:val="00FB54DE"/>
    <w:rsid w:val="00FB57A4"/>
    <w:rsid w:val="00FB5E11"/>
    <w:rsid w:val="00FB6538"/>
    <w:rsid w:val="00FB69B1"/>
    <w:rsid w:val="00FB72FC"/>
    <w:rsid w:val="00FC00AF"/>
    <w:rsid w:val="00FC00E8"/>
    <w:rsid w:val="00FC0D33"/>
    <w:rsid w:val="00FC0F9A"/>
    <w:rsid w:val="00FC211E"/>
    <w:rsid w:val="00FC256A"/>
    <w:rsid w:val="00FC30B6"/>
    <w:rsid w:val="00FC35BA"/>
    <w:rsid w:val="00FC36CF"/>
    <w:rsid w:val="00FC4E83"/>
    <w:rsid w:val="00FC4F50"/>
    <w:rsid w:val="00FC5517"/>
    <w:rsid w:val="00FC6AC2"/>
    <w:rsid w:val="00FC71CE"/>
    <w:rsid w:val="00FC7917"/>
    <w:rsid w:val="00FC79CD"/>
    <w:rsid w:val="00FD199C"/>
    <w:rsid w:val="00FD2338"/>
    <w:rsid w:val="00FD2903"/>
    <w:rsid w:val="00FD354D"/>
    <w:rsid w:val="00FD3AE7"/>
    <w:rsid w:val="00FD3F6B"/>
    <w:rsid w:val="00FD4221"/>
    <w:rsid w:val="00FD4DAE"/>
    <w:rsid w:val="00FD657E"/>
    <w:rsid w:val="00FD6844"/>
    <w:rsid w:val="00FD7518"/>
    <w:rsid w:val="00FE005D"/>
    <w:rsid w:val="00FE0330"/>
    <w:rsid w:val="00FE0C89"/>
    <w:rsid w:val="00FE1C73"/>
    <w:rsid w:val="00FE224B"/>
    <w:rsid w:val="00FE2788"/>
    <w:rsid w:val="00FE27BD"/>
    <w:rsid w:val="00FE2C32"/>
    <w:rsid w:val="00FE2D14"/>
    <w:rsid w:val="00FE2F26"/>
    <w:rsid w:val="00FE34BA"/>
    <w:rsid w:val="00FE38F6"/>
    <w:rsid w:val="00FE3D0B"/>
    <w:rsid w:val="00FE43CE"/>
    <w:rsid w:val="00FE5552"/>
    <w:rsid w:val="00FE6121"/>
    <w:rsid w:val="00FE69B1"/>
    <w:rsid w:val="00FE6BFC"/>
    <w:rsid w:val="00FE77DD"/>
    <w:rsid w:val="00FE7FCD"/>
    <w:rsid w:val="00FF093A"/>
    <w:rsid w:val="00FF1766"/>
    <w:rsid w:val="00FF24C9"/>
    <w:rsid w:val="00FF2B53"/>
    <w:rsid w:val="00FF3160"/>
    <w:rsid w:val="00FF330B"/>
    <w:rsid w:val="00FF5BDF"/>
    <w:rsid w:val="00FF759A"/>
    <w:rsid w:val="00FF7689"/>
    <w:rsid w:val="00FF7E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EDD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0BB"/>
    <w:rPr>
      <w:rFonts w:ascii="Calibri" w:eastAsia="Calibri" w:hAnsi="Calibri" w:cs="Times New Roman"/>
    </w:rPr>
  </w:style>
  <w:style w:type="paragraph" w:styleId="Ttulo1">
    <w:name w:val="heading 1"/>
    <w:basedOn w:val="Normal"/>
    <w:next w:val="Normal"/>
    <w:link w:val="Ttulo1Car"/>
    <w:autoRedefine/>
    <w:uiPriority w:val="9"/>
    <w:qFormat/>
    <w:rsid w:val="00131085"/>
    <w:pPr>
      <w:keepNext/>
      <w:keepLines/>
      <w:spacing w:before="480"/>
      <w:outlineLvl w:val="0"/>
    </w:pPr>
    <w:rPr>
      <w:rFonts w:eastAsiaTheme="majorEastAsia" w:cstheme="maj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F076A"/>
    <w:pPr>
      <w:spacing w:after="300"/>
      <w:contextualSpacing/>
    </w:pPr>
    <w:rPr>
      <w:rFonts w:eastAsiaTheme="majorEastAsia" w:cstheme="majorBidi"/>
      <w:spacing w:val="5"/>
      <w:kern w:val="28"/>
      <w:sz w:val="32"/>
      <w:szCs w:val="52"/>
    </w:rPr>
  </w:style>
  <w:style w:type="character" w:customStyle="1" w:styleId="TtuloCar">
    <w:name w:val="Título Car"/>
    <w:basedOn w:val="Fuentedeprrafopredeter"/>
    <w:link w:val="Ttulo"/>
    <w:uiPriority w:val="10"/>
    <w:rsid w:val="002F076A"/>
    <w:rPr>
      <w:rFonts w:eastAsiaTheme="majorEastAsia" w:cstheme="majorBidi"/>
      <w:spacing w:val="5"/>
      <w:kern w:val="28"/>
      <w:sz w:val="32"/>
      <w:szCs w:val="52"/>
    </w:rPr>
  </w:style>
  <w:style w:type="character" w:customStyle="1" w:styleId="Ttulo1Car">
    <w:name w:val="Título 1 Car"/>
    <w:basedOn w:val="Fuentedeprrafopredeter"/>
    <w:link w:val="Ttulo1"/>
    <w:uiPriority w:val="9"/>
    <w:rsid w:val="00131085"/>
    <w:rPr>
      <w:rFonts w:eastAsiaTheme="majorEastAsia" w:cstheme="majorBidi"/>
      <w:b/>
      <w:bCs/>
      <w:sz w:val="28"/>
      <w:szCs w:val="28"/>
    </w:rPr>
  </w:style>
  <w:style w:type="paragraph" w:styleId="Encabezado">
    <w:name w:val="header"/>
    <w:basedOn w:val="Normal"/>
    <w:link w:val="EncabezadoCar"/>
    <w:uiPriority w:val="99"/>
    <w:unhideWhenUsed/>
    <w:rsid w:val="00DE4E1B"/>
    <w:pPr>
      <w:tabs>
        <w:tab w:val="center" w:pos="4252"/>
        <w:tab w:val="right" w:pos="8504"/>
      </w:tabs>
    </w:pPr>
  </w:style>
  <w:style w:type="character" w:customStyle="1" w:styleId="EncabezadoCar">
    <w:name w:val="Encabezado Car"/>
    <w:basedOn w:val="Fuentedeprrafopredeter"/>
    <w:link w:val="Encabezado"/>
    <w:uiPriority w:val="99"/>
    <w:rsid w:val="00DE4E1B"/>
  </w:style>
  <w:style w:type="paragraph" w:styleId="Piedepgina">
    <w:name w:val="footer"/>
    <w:basedOn w:val="Normal"/>
    <w:link w:val="PiedepginaCar"/>
    <w:uiPriority w:val="99"/>
    <w:unhideWhenUsed/>
    <w:rsid w:val="00DE4E1B"/>
    <w:pPr>
      <w:tabs>
        <w:tab w:val="center" w:pos="4252"/>
        <w:tab w:val="right" w:pos="8504"/>
      </w:tabs>
    </w:pPr>
  </w:style>
  <w:style w:type="character" w:customStyle="1" w:styleId="PiedepginaCar">
    <w:name w:val="Pie de página Car"/>
    <w:basedOn w:val="Fuentedeprrafopredeter"/>
    <w:link w:val="Piedepgina"/>
    <w:uiPriority w:val="99"/>
    <w:rsid w:val="00DE4E1B"/>
  </w:style>
  <w:style w:type="paragraph" w:styleId="Textodeglobo">
    <w:name w:val="Balloon Text"/>
    <w:basedOn w:val="Normal"/>
    <w:link w:val="TextodegloboCar"/>
    <w:semiHidden/>
    <w:unhideWhenUsed/>
    <w:rsid w:val="00DE4E1B"/>
    <w:rPr>
      <w:rFonts w:ascii="Tahoma" w:hAnsi="Tahoma" w:cs="Tahoma"/>
      <w:sz w:val="16"/>
      <w:szCs w:val="16"/>
    </w:rPr>
  </w:style>
  <w:style w:type="character" w:customStyle="1" w:styleId="TextodegloboCar">
    <w:name w:val="Texto de globo Car"/>
    <w:basedOn w:val="Fuentedeprrafopredeter"/>
    <w:link w:val="Textodeglobo"/>
    <w:uiPriority w:val="99"/>
    <w:semiHidden/>
    <w:rsid w:val="00DE4E1B"/>
    <w:rPr>
      <w:rFonts w:ascii="Tahoma" w:hAnsi="Tahoma" w:cs="Tahoma"/>
      <w:sz w:val="16"/>
      <w:szCs w:val="16"/>
    </w:rPr>
  </w:style>
  <w:style w:type="paragraph" w:styleId="Prrafodelista">
    <w:name w:val="List Paragraph"/>
    <w:aliases w:val="Table Legend,Bullet List 2,2nd Bullet,Bullet 1,List Paragraph,Questions,List Paragraph1,Listeafsnit,Bullet1,Bullets,Odstavec se seznamem1,Bullet List,Section 5,Bullets Points,List Table"/>
    <w:basedOn w:val="Normal"/>
    <w:link w:val="PrrafodelistaCar"/>
    <w:uiPriority w:val="34"/>
    <w:qFormat/>
    <w:rsid w:val="00DE4E1B"/>
    <w:pPr>
      <w:ind w:left="720"/>
    </w:pPr>
  </w:style>
  <w:style w:type="table" w:styleId="Tablaconcuadrcula">
    <w:name w:val="Table Grid"/>
    <w:basedOn w:val="Tablanormal"/>
    <w:uiPriority w:val="39"/>
    <w:rsid w:val="0017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E64FB9"/>
    <w:pPr>
      <w:widowControl w:val="0"/>
    </w:pPr>
    <w:rPr>
      <w:rFonts w:ascii="Courier" w:eastAsia="Times New Roman" w:hAnsi="Courier"/>
      <w:sz w:val="24"/>
      <w:szCs w:val="20"/>
      <w:lang w:eastAsia="es-ES"/>
    </w:rPr>
  </w:style>
  <w:style w:type="paragraph" w:styleId="NormalWeb">
    <w:name w:val="Normal (Web)"/>
    <w:basedOn w:val="Normal"/>
    <w:uiPriority w:val="99"/>
    <w:unhideWhenUsed/>
    <w:rsid w:val="00E64FB9"/>
    <w:pPr>
      <w:spacing w:before="100" w:beforeAutospacing="1" w:after="100" w:afterAutospacing="1"/>
    </w:pPr>
    <w:rPr>
      <w:rFonts w:ascii="Times New Roman" w:eastAsia="Times New Roman" w:hAnsi="Times New Roman"/>
      <w:sz w:val="24"/>
      <w:szCs w:val="24"/>
      <w:lang w:eastAsia="es-ES"/>
    </w:rPr>
  </w:style>
  <w:style w:type="paragraph" w:styleId="DireccinHTML">
    <w:name w:val="HTML Address"/>
    <w:basedOn w:val="Normal"/>
    <w:link w:val="DireccinHTMLCar"/>
    <w:rsid w:val="005E1C4E"/>
    <w:rPr>
      <w:rFonts w:ascii="Times New Roman" w:eastAsia="Times New Roman" w:hAnsi="Times New Roman"/>
      <w:i/>
      <w:iCs/>
      <w:sz w:val="24"/>
      <w:szCs w:val="24"/>
      <w:lang w:eastAsia="es-ES"/>
    </w:rPr>
  </w:style>
  <w:style w:type="character" w:customStyle="1" w:styleId="DireccinHTMLCar">
    <w:name w:val="Dirección HTML Car"/>
    <w:basedOn w:val="Fuentedeprrafopredeter"/>
    <w:link w:val="DireccinHTML"/>
    <w:rsid w:val="005E1C4E"/>
    <w:rPr>
      <w:rFonts w:ascii="Times New Roman" w:eastAsia="Times New Roman" w:hAnsi="Times New Roman" w:cs="Times New Roman"/>
      <w:i/>
      <w:iCs/>
      <w:sz w:val="24"/>
      <w:szCs w:val="24"/>
      <w:lang w:eastAsia="es-ES"/>
    </w:rPr>
  </w:style>
  <w:style w:type="paragraph" w:customStyle="1" w:styleId="Default">
    <w:name w:val="Default"/>
    <w:rsid w:val="0026672B"/>
    <w:pPr>
      <w:autoSpaceDE w:val="0"/>
      <w:autoSpaceDN w:val="0"/>
      <w:adjustRightInd w:val="0"/>
    </w:pPr>
    <w:rPr>
      <w:rFonts w:ascii="Times New Roman" w:eastAsia="Times New Roman" w:hAnsi="Times New Roman" w:cs="Times New Roman"/>
      <w:color w:val="000000"/>
      <w:sz w:val="24"/>
      <w:szCs w:val="24"/>
      <w:lang w:eastAsia="es-ES"/>
    </w:rPr>
  </w:style>
  <w:style w:type="table" w:customStyle="1" w:styleId="Tablaconcuadrcula1">
    <w:name w:val="Tabla con cuadrícula1"/>
    <w:basedOn w:val="Tablanormal"/>
    <w:next w:val="Tablaconcuadrcula"/>
    <w:uiPriority w:val="59"/>
    <w:rsid w:val="005D7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BA0B46"/>
    <w:pPr>
      <w:pBdr>
        <w:bottom w:val="single" w:sz="6" w:space="1" w:color="auto"/>
      </w:pBdr>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A0B46"/>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BA0B46"/>
    <w:pPr>
      <w:pBdr>
        <w:top w:val="single" w:sz="6" w:space="1" w:color="auto"/>
      </w:pBdr>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rsid w:val="00BA0B46"/>
    <w:rPr>
      <w:rFonts w:ascii="Arial" w:eastAsia="Times New Roman" w:hAnsi="Arial" w:cs="Arial"/>
      <w:vanish/>
      <w:sz w:val="16"/>
      <w:szCs w:val="16"/>
      <w:lang w:eastAsia="es-ES"/>
    </w:rPr>
  </w:style>
  <w:style w:type="character" w:customStyle="1" w:styleId="PrrafodelistaCar">
    <w:name w:val="Párrafo de lista Car"/>
    <w:aliases w:val="Table Legend Car,Bullet List 2 Car,2nd Bullet Car,Bullet 1 Car,List Paragraph Car,Questions Car,List Paragraph1 Car,Listeafsnit Car,Bullet1 Car,Bullets Car,Odstavec se seznamem1 Car,Bullet List Car,Section 5 Car,Bullets Points Car"/>
    <w:link w:val="Prrafodelista"/>
    <w:uiPriority w:val="34"/>
    <w:locked/>
    <w:rsid w:val="00670FE9"/>
    <w:rPr>
      <w:rFonts w:ascii="Calibri" w:eastAsia="Calibri" w:hAnsi="Calibri" w:cs="Times New Roman"/>
    </w:rPr>
  </w:style>
  <w:style w:type="table" w:customStyle="1" w:styleId="Cuadrculadetablaclara1">
    <w:name w:val="Cuadrícula de tabla clara1"/>
    <w:basedOn w:val="Tablanormal"/>
    <w:uiPriority w:val="40"/>
    <w:rsid w:val="000444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fasis">
    <w:name w:val="Emphasis"/>
    <w:basedOn w:val="Fuentedeprrafopredeter"/>
    <w:uiPriority w:val="20"/>
    <w:qFormat/>
    <w:rsid w:val="00F06541"/>
    <w:rPr>
      <w:i/>
      <w:iCs/>
    </w:rPr>
  </w:style>
  <w:style w:type="character" w:customStyle="1" w:styleId="titulo2">
    <w:name w:val="titulo2"/>
    <w:basedOn w:val="Fuentedeprrafopredeter"/>
    <w:rsid w:val="004F2845"/>
    <w:rPr>
      <w:rFonts w:ascii="Arial" w:hAnsi="Arial" w:cs="Arial" w:hint="default"/>
      <w:b/>
      <w:bCs/>
      <w:i w:val="0"/>
      <w:iCs w:val="0"/>
      <w:smallCaps w:val="0"/>
      <w:strike w:val="0"/>
      <w:dstrike w:val="0"/>
      <w:color w:val="8F0F2A"/>
      <w:sz w:val="29"/>
      <w:szCs w:val="29"/>
      <w:u w:val="none"/>
      <w:effect w:val="none"/>
    </w:rPr>
  </w:style>
  <w:style w:type="character" w:styleId="Refdecomentario">
    <w:name w:val="annotation reference"/>
    <w:basedOn w:val="Fuentedeprrafopredeter"/>
    <w:uiPriority w:val="99"/>
    <w:semiHidden/>
    <w:unhideWhenUsed/>
    <w:rsid w:val="00964A3E"/>
    <w:rPr>
      <w:sz w:val="16"/>
      <w:szCs w:val="16"/>
    </w:rPr>
  </w:style>
  <w:style w:type="paragraph" w:styleId="Textocomentario">
    <w:name w:val="annotation text"/>
    <w:basedOn w:val="Normal"/>
    <w:link w:val="TextocomentarioCar"/>
    <w:uiPriority w:val="99"/>
    <w:semiHidden/>
    <w:unhideWhenUsed/>
    <w:rsid w:val="00964A3E"/>
    <w:rPr>
      <w:sz w:val="20"/>
      <w:szCs w:val="20"/>
    </w:rPr>
  </w:style>
  <w:style w:type="character" w:customStyle="1" w:styleId="TextocomentarioCar">
    <w:name w:val="Texto comentario Car"/>
    <w:basedOn w:val="Fuentedeprrafopredeter"/>
    <w:link w:val="Textocomentario"/>
    <w:uiPriority w:val="99"/>
    <w:semiHidden/>
    <w:rsid w:val="00964A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64A3E"/>
    <w:rPr>
      <w:b/>
      <w:bCs/>
    </w:rPr>
  </w:style>
  <w:style w:type="character" w:customStyle="1" w:styleId="AsuntodelcomentarioCar">
    <w:name w:val="Asunto del comentario Car"/>
    <w:basedOn w:val="TextocomentarioCar"/>
    <w:link w:val="Asuntodelcomentario"/>
    <w:uiPriority w:val="99"/>
    <w:semiHidden/>
    <w:rsid w:val="00964A3E"/>
    <w:rPr>
      <w:rFonts w:ascii="Calibri" w:eastAsia="Calibri" w:hAnsi="Calibri" w:cs="Times New Roman"/>
      <w:b/>
      <w:bCs/>
      <w:sz w:val="20"/>
      <w:szCs w:val="20"/>
    </w:rPr>
  </w:style>
  <w:style w:type="paragraph" w:styleId="Subttulo">
    <w:name w:val="Subtitle"/>
    <w:basedOn w:val="Normal"/>
    <w:next w:val="Normal"/>
    <w:link w:val="SubttuloCar"/>
    <w:uiPriority w:val="11"/>
    <w:qFormat/>
    <w:rsid w:val="00E2386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E23866"/>
    <w:rPr>
      <w:rFonts w:eastAsiaTheme="minorEastAsia"/>
      <w:color w:val="5A5A5A" w:themeColor="text1" w:themeTint="A5"/>
      <w:spacing w:val="15"/>
    </w:rPr>
  </w:style>
  <w:style w:type="character" w:styleId="Textoennegrita">
    <w:name w:val="Strong"/>
    <w:basedOn w:val="Fuentedeprrafopredeter"/>
    <w:uiPriority w:val="22"/>
    <w:qFormat/>
    <w:rsid w:val="00E23866"/>
    <w:rPr>
      <w:b/>
      <w:bCs/>
    </w:rPr>
  </w:style>
  <w:style w:type="paragraph" w:styleId="Sangra2detindependiente">
    <w:name w:val="Body Text Indent 2"/>
    <w:basedOn w:val="Normal"/>
    <w:link w:val="Sangra2detindependienteCar"/>
    <w:rsid w:val="00E23866"/>
    <w:pPr>
      <w:ind w:left="-709" w:firstLine="425"/>
      <w:jc w:val="both"/>
    </w:pPr>
    <w:rPr>
      <w:rFonts w:ascii="Arial" w:eastAsia="Times New Roman" w:hAnsi="Arial"/>
      <w:sz w:val="24"/>
      <w:szCs w:val="20"/>
      <w:lang w:eastAsia="es-ES"/>
    </w:rPr>
  </w:style>
  <w:style w:type="character" w:customStyle="1" w:styleId="Sangra2detindependienteCar">
    <w:name w:val="Sangría 2 de t. independiente Car"/>
    <w:basedOn w:val="Fuentedeprrafopredeter"/>
    <w:link w:val="Sangra2detindependiente"/>
    <w:rsid w:val="00E23866"/>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997">
      <w:bodyDiv w:val="1"/>
      <w:marLeft w:val="0"/>
      <w:marRight w:val="0"/>
      <w:marTop w:val="0"/>
      <w:marBottom w:val="0"/>
      <w:divBdr>
        <w:top w:val="none" w:sz="0" w:space="0" w:color="auto"/>
        <w:left w:val="none" w:sz="0" w:space="0" w:color="auto"/>
        <w:bottom w:val="none" w:sz="0" w:space="0" w:color="auto"/>
        <w:right w:val="none" w:sz="0" w:space="0" w:color="auto"/>
      </w:divBdr>
    </w:div>
    <w:div w:id="24185793">
      <w:bodyDiv w:val="1"/>
      <w:marLeft w:val="0"/>
      <w:marRight w:val="0"/>
      <w:marTop w:val="0"/>
      <w:marBottom w:val="0"/>
      <w:divBdr>
        <w:top w:val="none" w:sz="0" w:space="0" w:color="auto"/>
        <w:left w:val="none" w:sz="0" w:space="0" w:color="auto"/>
        <w:bottom w:val="none" w:sz="0" w:space="0" w:color="auto"/>
        <w:right w:val="none" w:sz="0" w:space="0" w:color="auto"/>
      </w:divBdr>
    </w:div>
    <w:div w:id="36205944">
      <w:bodyDiv w:val="1"/>
      <w:marLeft w:val="0"/>
      <w:marRight w:val="0"/>
      <w:marTop w:val="0"/>
      <w:marBottom w:val="0"/>
      <w:divBdr>
        <w:top w:val="none" w:sz="0" w:space="0" w:color="auto"/>
        <w:left w:val="none" w:sz="0" w:space="0" w:color="auto"/>
        <w:bottom w:val="none" w:sz="0" w:space="0" w:color="auto"/>
        <w:right w:val="none" w:sz="0" w:space="0" w:color="auto"/>
      </w:divBdr>
    </w:div>
    <w:div w:id="40910292">
      <w:bodyDiv w:val="1"/>
      <w:marLeft w:val="0"/>
      <w:marRight w:val="0"/>
      <w:marTop w:val="0"/>
      <w:marBottom w:val="0"/>
      <w:divBdr>
        <w:top w:val="none" w:sz="0" w:space="0" w:color="auto"/>
        <w:left w:val="none" w:sz="0" w:space="0" w:color="auto"/>
        <w:bottom w:val="none" w:sz="0" w:space="0" w:color="auto"/>
        <w:right w:val="none" w:sz="0" w:space="0" w:color="auto"/>
      </w:divBdr>
    </w:div>
    <w:div w:id="43070713">
      <w:bodyDiv w:val="1"/>
      <w:marLeft w:val="0"/>
      <w:marRight w:val="0"/>
      <w:marTop w:val="0"/>
      <w:marBottom w:val="0"/>
      <w:divBdr>
        <w:top w:val="none" w:sz="0" w:space="0" w:color="auto"/>
        <w:left w:val="none" w:sz="0" w:space="0" w:color="auto"/>
        <w:bottom w:val="none" w:sz="0" w:space="0" w:color="auto"/>
        <w:right w:val="none" w:sz="0" w:space="0" w:color="auto"/>
      </w:divBdr>
    </w:div>
    <w:div w:id="57828650">
      <w:bodyDiv w:val="1"/>
      <w:marLeft w:val="0"/>
      <w:marRight w:val="0"/>
      <w:marTop w:val="0"/>
      <w:marBottom w:val="0"/>
      <w:divBdr>
        <w:top w:val="none" w:sz="0" w:space="0" w:color="auto"/>
        <w:left w:val="none" w:sz="0" w:space="0" w:color="auto"/>
        <w:bottom w:val="none" w:sz="0" w:space="0" w:color="auto"/>
        <w:right w:val="none" w:sz="0" w:space="0" w:color="auto"/>
      </w:divBdr>
    </w:div>
    <w:div w:id="64376382">
      <w:bodyDiv w:val="1"/>
      <w:marLeft w:val="0"/>
      <w:marRight w:val="0"/>
      <w:marTop w:val="0"/>
      <w:marBottom w:val="0"/>
      <w:divBdr>
        <w:top w:val="none" w:sz="0" w:space="0" w:color="auto"/>
        <w:left w:val="none" w:sz="0" w:space="0" w:color="auto"/>
        <w:bottom w:val="none" w:sz="0" w:space="0" w:color="auto"/>
        <w:right w:val="none" w:sz="0" w:space="0" w:color="auto"/>
      </w:divBdr>
    </w:div>
    <w:div w:id="72435848">
      <w:bodyDiv w:val="1"/>
      <w:marLeft w:val="0"/>
      <w:marRight w:val="0"/>
      <w:marTop w:val="0"/>
      <w:marBottom w:val="0"/>
      <w:divBdr>
        <w:top w:val="none" w:sz="0" w:space="0" w:color="auto"/>
        <w:left w:val="none" w:sz="0" w:space="0" w:color="auto"/>
        <w:bottom w:val="none" w:sz="0" w:space="0" w:color="auto"/>
        <w:right w:val="none" w:sz="0" w:space="0" w:color="auto"/>
      </w:divBdr>
    </w:div>
    <w:div w:id="73480588">
      <w:bodyDiv w:val="1"/>
      <w:marLeft w:val="0"/>
      <w:marRight w:val="0"/>
      <w:marTop w:val="0"/>
      <w:marBottom w:val="0"/>
      <w:divBdr>
        <w:top w:val="none" w:sz="0" w:space="0" w:color="auto"/>
        <w:left w:val="none" w:sz="0" w:space="0" w:color="auto"/>
        <w:bottom w:val="none" w:sz="0" w:space="0" w:color="auto"/>
        <w:right w:val="none" w:sz="0" w:space="0" w:color="auto"/>
      </w:divBdr>
      <w:divsChild>
        <w:div w:id="1332636419">
          <w:marLeft w:val="0"/>
          <w:marRight w:val="0"/>
          <w:marTop w:val="0"/>
          <w:marBottom w:val="0"/>
          <w:divBdr>
            <w:top w:val="none" w:sz="0" w:space="0" w:color="auto"/>
            <w:left w:val="none" w:sz="0" w:space="0" w:color="auto"/>
            <w:bottom w:val="none" w:sz="0" w:space="0" w:color="auto"/>
            <w:right w:val="none" w:sz="0" w:space="0" w:color="auto"/>
          </w:divBdr>
        </w:div>
      </w:divsChild>
    </w:div>
    <w:div w:id="104077733">
      <w:bodyDiv w:val="1"/>
      <w:marLeft w:val="0"/>
      <w:marRight w:val="0"/>
      <w:marTop w:val="0"/>
      <w:marBottom w:val="0"/>
      <w:divBdr>
        <w:top w:val="none" w:sz="0" w:space="0" w:color="auto"/>
        <w:left w:val="none" w:sz="0" w:space="0" w:color="auto"/>
        <w:bottom w:val="none" w:sz="0" w:space="0" w:color="auto"/>
        <w:right w:val="none" w:sz="0" w:space="0" w:color="auto"/>
      </w:divBdr>
    </w:div>
    <w:div w:id="104732421">
      <w:bodyDiv w:val="1"/>
      <w:marLeft w:val="0"/>
      <w:marRight w:val="0"/>
      <w:marTop w:val="0"/>
      <w:marBottom w:val="0"/>
      <w:divBdr>
        <w:top w:val="none" w:sz="0" w:space="0" w:color="auto"/>
        <w:left w:val="none" w:sz="0" w:space="0" w:color="auto"/>
        <w:bottom w:val="none" w:sz="0" w:space="0" w:color="auto"/>
        <w:right w:val="none" w:sz="0" w:space="0" w:color="auto"/>
      </w:divBdr>
    </w:div>
    <w:div w:id="130170633">
      <w:bodyDiv w:val="1"/>
      <w:marLeft w:val="0"/>
      <w:marRight w:val="0"/>
      <w:marTop w:val="0"/>
      <w:marBottom w:val="0"/>
      <w:divBdr>
        <w:top w:val="none" w:sz="0" w:space="0" w:color="auto"/>
        <w:left w:val="none" w:sz="0" w:space="0" w:color="auto"/>
        <w:bottom w:val="none" w:sz="0" w:space="0" w:color="auto"/>
        <w:right w:val="none" w:sz="0" w:space="0" w:color="auto"/>
      </w:divBdr>
    </w:div>
    <w:div w:id="131413835">
      <w:bodyDiv w:val="1"/>
      <w:marLeft w:val="0"/>
      <w:marRight w:val="0"/>
      <w:marTop w:val="0"/>
      <w:marBottom w:val="0"/>
      <w:divBdr>
        <w:top w:val="none" w:sz="0" w:space="0" w:color="auto"/>
        <w:left w:val="none" w:sz="0" w:space="0" w:color="auto"/>
        <w:bottom w:val="none" w:sz="0" w:space="0" w:color="auto"/>
        <w:right w:val="none" w:sz="0" w:space="0" w:color="auto"/>
      </w:divBdr>
    </w:div>
    <w:div w:id="133332305">
      <w:bodyDiv w:val="1"/>
      <w:marLeft w:val="0"/>
      <w:marRight w:val="0"/>
      <w:marTop w:val="0"/>
      <w:marBottom w:val="0"/>
      <w:divBdr>
        <w:top w:val="none" w:sz="0" w:space="0" w:color="auto"/>
        <w:left w:val="none" w:sz="0" w:space="0" w:color="auto"/>
        <w:bottom w:val="none" w:sz="0" w:space="0" w:color="auto"/>
        <w:right w:val="none" w:sz="0" w:space="0" w:color="auto"/>
      </w:divBdr>
    </w:div>
    <w:div w:id="135686077">
      <w:bodyDiv w:val="1"/>
      <w:marLeft w:val="0"/>
      <w:marRight w:val="0"/>
      <w:marTop w:val="0"/>
      <w:marBottom w:val="0"/>
      <w:divBdr>
        <w:top w:val="none" w:sz="0" w:space="0" w:color="auto"/>
        <w:left w:val="none" w:sz="0" w:space="0" w:color="auto"/>
        <w:bottom w:val="none" w:sz="0" w:space="0" w:color="auto"/>
        <w:right w:val="none" w:sz="0" w:space="0" w:color="auto"/>
      </w:divBdr>
    </w:div>
    <w:div w:id="137575494">
      <w:bodyDiv w:val="1"/>
      <w:marLeft w:val="0"/>
      <w:marRight w:val="0"/>
      <w:marTop w:val="0"/>
      <w:marBottom w:val="0"/>
      <w:divBdr>
        <w:top w:val="none" w:sz="0" w:space="0" w:color="auto"/>
        <w:left w:val="none" w:sz="0" w:space="0" w:color="auto"/>
        <w:bottom w:val="none" w:sz="0" w:space="0" w:color="auto"/>
        <w:right w:val="none" w:sz="0" w:space="0" w:color="auto"/>
      </w:divBdr>
    </w:div>
    <w:div w:id="149174772">
      <w:bodyDiv w:val="1"/>
      <w:marLeft w:val="0"/>
      <w:marRight w:val="0"/>
      <w:marTop w:val="0"/>
      <w:marBottom w:val="0"/>
      <w:divBdr>
        <w:top w:val="none" w:sz="0" w:space="0" w:color="auto"/>
        <w:left w:val="none" w:sz="0" w:space="0" w:color="auto"/>
        <w:bottom w:val="none" w:sz="0" w:space="0" w:color="auto"/>
        <w:right w:val="none" w:sz="0" w:space="0" w:color="auto"/>
      </w:divBdr>
    </w:div>
    <w:div w:id="153957046">
      <w:bodyDiv w:val="1"/>
      <w:marLeft w:val="0"/>
      <w:marRight w:val="0"/>
      <w:marTop w:val="0"/>
      <w:marBottom w:val="0"/>
      <w:divBdr>
        <w:top w:val="none" w:sz="0" w:space="0" w:color="auto"/>
        <w:left w:val="none" w:sz="0" w:space="0" w:color="auto"/>
        <w:bottom w:val="none" w:sz="0" w:space="0" w:color="auto"/>
        <w:right w:val="none" w:sz="0" w:space="0" w:color="auto"/>
      </w:divBdr>
    </w:div>
    <w:div w:id="173616095">
      <w:bodyDiv w:val="1"/>
      <w:marLeft w:val="0"/>
      <w:marRight w:val="0"/>
      <w:marTop w:val="0"/>
      <w:marBottom w:val="0"/>
      <w:divBdr>
        <w:top w:val="none" w:sz="0" w:space="0" w:color="auto"/>
        <w:left w:val="none" w:sz="0" w:space="0" w:color="auto"/>
        <w:bottom w:val="none" w:sz="0" w:space="0" w:color="auto"/>
        <w:right w:val="none" w:sz="0" w:space="0" w:color="auto"/>
      </w:divBdr>
      <w:divsChild>
        <w:div w:id="1059205756">
          <w:marLeft w:val="0"/>
          <w:marRight w:val="0"/>
          <w:marTop w:val="0"/>
          <w:marBottom w:val="0"/>
          <w:divBdr>
            <w:top w:val="none" w:sz="0" w:space="0" w:color="auto"/>
            <w:left w:val="none" w:sz="0" w:space="0" w:color="auto"/>
            <w:bottom w:val="none" w:sz="0" w:space="0" w:color="auto"/>
            <w:right w:val="none" w:sz="0" w:space="0" w:color="auto"/>
          </w:divBdr>
        </w:div>
      </w:divsChild>
    </w:div>
    <w:div w:id="185949543">
      <w:bodyDiv w:val="1"/>
      <w:marLeft w:val="0"/>
      <w:marRight w:val="0"/>
      <w:marTop w:val="0"/>
      <w:marBottom w:val="0"/>
      <w:divBdr>
        <w:top w:val="none" w:sz="0" w:space="0" w:color="auto"/>
        <w:left w:val="none" w:sz="0" w:space="0" w:color="auto"/>
        <w:bottom w:val="none" w:sz="0" w:space="0" w:color="auto"/>
        <w:right w:val="none" w:sz="0" w:space="0" w:color="auto"/>
      </w:divBdr>
    </w:div>
    <w:div w:id="196432839">
      <w:bodyDiv w:val="1"/>
      <w:marLeft w:val="0"/>
      <w:marRight w:val="0"/>
      <w:marTop w:val="0"/>
      <w:marBottom w:val="0"/>
      <w:divBdr>
        <w:top w:val="none" w:sz="0" w:space="0" w:color="auto"/>
        <w:left w:val="none" w:sz="0" w:space="0" w:color="auto"/>
        <w:bottom w:val="none" w:sz="0" w:space="0" w:color="auto"/>
        <w:right w:val="none" w:sz="0" w:space="0" w:color="auto"/>
      </w:divBdr>
    </w:div>
    <w:div w:id="214892753">
      <w:bodyDiv w:val="1"/>
      <w:marLeft w:val="0"/>
      <w:marRight w:val="0"/>
      <w:marTop w:val="0"/>
      <w:marBottom w:val="0"/>
      <w:divBdr>
        <w:top w:val="none" w:sz="0" w:space="0" w:color="auto"/>
        <w:left w:val="none" w:sz="0" w:space="0" w:color="auto"/>
        <w:bottom w:val="none" w:sz="0" w:space="0" w:color="auto"/>
        <w:right w:val="none" w:sz="0" w:space="0" w:color="auto"/>
      </w:divBdr>
    </w:div>
    <w:div w:id="229268025">
      <w:bodyDiv w:val="1"/>
      <w:marLeft w:val="0"/>
      <w:marRight w:val="0"/>
      <w:marTop w:val="0"/>
      <w:marBottom w:val="0"/>
      <w:divBdr>
        <w:top w:val="none" w:sz="0" w:space="0" w:color="auto"/>
        <w:left w:val="none" w:sz="0" w:space="0" w:color="auto"/>
        <w:bottom w:val="none" w:sz="0" w:space="0" w:color="auto"/>
        <w:right w:val="none" w:sz="0" w:space="0" w:color="auto"/>
      </w:divBdr>
    </w:div>
    <w:div w:id="230777401">
      <w:bodyDiv w:val="1"/>
      <w:marLeft w:val="0"/>
      <w:marRight w:val="0"/>
      <w:marTop w:val="0"/>
      <w:marBottom w:val="0"/>
      <w:divBdr>
        <w:top w:val="none" w:sz="0" w:space="0" w:color="auto"/>
        <w:left w:val="none" w:sz="0" w:space="0" w:color="auto"/>
        <w:bottom w:val="none" w:sz="0" w:space="0" w:color="auto"/>
        <w:right w:val="none" w:sz="0" w:space="0" w:color="auto"/>
      </w:divBdr>
    </w:div>
    <w:div w:id="237374108">
      <w:bodyDiv w:val="1"/>
      <w:marLeft w:val="0"/>
      <w:marRight w:val="0"/>
      <w:marTop w:val="0"/>
      <w:marBottom w:val="0"/>
      <w:divBdr>
        <w:top w:val="none" w:sz="0" w:space="0" w:color="auto"/>
        <w:left w:val="none" w:sz="0" w:space="0" w:color="auto"/>
        <w:bottom w:val="none" w:sz="0" w:space="0" w:color="auto"/>
        <w:right w:val="none" w:sz="0" w:space="0" w:color="auto"/>
      </w:divBdr>
    </w:div>
    <w:div w:id="253560684">
      <w:bodyDiv w:val="1"/>
      <w:marLeft w:val="0"/>
      <w:marRight w:val="0"/>
      <w:marTop w:val="0"/>
      <w:marBottom w:val="0"/>
      <w:divBdr>
        <w:top w:val="none" w:sz="0" w:space="0" w:color="auto"/>
        <w:left w:val="none" w:sz="0" w:space="0" w:color="auto"/>
        <w:bottom w:val="none" w:sz="0" w:space="0" w:color="auto"/>
        <w:right w:val="none" w:sz="0" w:space="0" w:color="auto"/>
      </w:divBdr>
    </w:div>
    <w:div w:id="258176253">
      <w:bodyDiv w:val="1"/>
      <w:marLeft w:val="0"/>
      <w:marRight w:val="0"/>
      <w:marTop w:val="0"/>
      <w:marBottom w:val="0"/>
      <w:divBdr>
        <w:top w:val="none" w:sz="0" w:space="0" w:color="auto"/>
        <w:left w:val="none" w:sz="0" w:space="0" w:color="auto"/>
        <w:bottom w:val="none" w:sz="0" w:space="0" w:color="auto"/>
        <w:right w:val="none" w:sz="0" w:space="0" w:color="auto"/>
      </w:divBdr>
    </w:div>
    <w:div w:id="258685896">
      <w:marLeft w:val="0"/>
      <w:marRight w:val="0"/>
      <w:marTop w:val="0"/>
      <w:marBottom w:val="0"/>
      <w:divBdr>
        <w:top w:val="none" w:sz="0" w:space="0" w:color="auto"/>
        <w:left w:val="none" w:sz="0" w:space="0" w:color="auto"/>
        <w:bottom w:val="none" w:sz="0" w:space="0" w:color="auto"/>
        <w:right w:val="none" w:sz="0" w:space="0" w:color="auto"/>
      </w:divBdr>
    </w:div>
    <w:div w:id="276258498">
      <w:bodyDiv w:val="1"/>
      <w:marLeft w:val="0"/>
      <w:marRight w:val="0"/>
      <w:marTop w:val="0"/>
      <w:marBottom w:val="0"/>
      <w:divBdr>
        <w:top w:val="none" w:sz="0" w:space="0" w:color="auto"/>
        <w:left w:val="none" w:sz="0" w:space="0" w:color="auto"/>
        <w:bottom w:val="none" w:sz="0" w:space="0" w:color="auto"/>
        <w:right w:val="none" w:sz="0" w:space="0" w:color="auto"/>
      </w:divBdr>
    </w:div>
    <w:div w:id="331182572">
      <w:bodyDiv w:val="1"/>
      <w:marLeft w:val="0"/>
      <w:marRight w:val="0"/>
      <w:marTop w:val="0"/>
      <w:marBottom w:val="0"/>
      <w:divBdr>
        <w:top w:val="none" w:sz="0" w:space="0" w:color="auto"/>
        <w:left w:val="none" w:sz="0" w:space="0" w:color="auto"/>
        <w:bottom w:val="none" w:sz="0" w:space="0" w:color="auto"/>
        <w:right w:val="none" w:sz="0" w:space="0" w:color="auto"/>
      </w:divBdr>
    </w:div>
    <w:div w:id="360668937">
      <w:bodyDiv w:val="1"/>
      <w:marLeft w:val="0"/>
      <w:marRight w:val="0"/>
      <w:marTop w:val="0"/>
      <w:marBottom w:val="0"/>
      <w:divBdr>
        <w:top w:val="none" w:sz="0" w:space="0" w:color="auto"/>
        <w:left w:val="none" w:sz="0" w:space="0" w:color="auto"/>
        <w:bottom w:val="none" w:sz="0" w:space="0" w:color="auto"/>
        <w:right w:val="none" w:sz="0" w:space="0" w:color="auto"/>
      </w:divBdr>
    </w:div>
    <w:div w:id="372273679">
      <w:bodyDiv w:val="1"/>
      <w:marLeft w:val="0"/>
      <w:marRight w:val="0"/>
      <w:marTop w:val="0"/>
      <w:marBottom w:val="0"/>
      <w:divBdr>
        <w:top w:val="none" w:sz="0" w:space="0" w:color="auto"/>
        <w:left w:val="none" w:sz="0" w:space="0" w:color="auto"/>
        <w:bottom w:val="none" w:sz="0" w:space="0" w:color="auto"/>
        <w:right w:val="none" w:sz="0" w:space="0" w:color="auto"/>
      </w:divBdr>
    </w:div>
    <w:div w:id="394816143">
      <w:bodyDiv w:val="1"/>
      <w:marLeft w:val="0"/>
      <w:marRight w:val="0"/>
      <w:marTop w:val="0"/>
      <w:marBottom w:val="0"/>
      <w:divBdr>
        <w:top w:val="none" w:sz="0" w:space="0" w:color="auto"/>
        <w:left w:val="none" w:sz="0" w:space="0" w:color="auto"/>
        <w:bottom w:val="none" w:sz="0" w:space="0" w:color="auto"/>
        <w:right w:val="none" w:sz="0" w:space="0" w:color="auto"/>
      </w:divBdr>
    </w:div>
    <w:div w:id="409666069">
      <w:marLeft w:val="0"/>
      <w:marRight w:val="0"/>
      <w:marTop w:val="0"/>
      <w:marBottom w:val="0"/>
      <w:divBdr>
        <w:top w:val="none" w:sz="0" w:space="0" w:color="auto"/>
        <w:left w:val="none" w:sz="0" w:space="0" w:color="auto"/>
        <w:bottom w:val="none" w:sz="0" w:space="0" w:color="auto"/>
        <w:right w:val="none" w:sz="0" w:space="0" w:color="auto"/>
      </w:divBdr>
    </w:div>
    <w:div w:id="424156461">
      <w:bodyDiv w:val="1"/>
      <w:marLeft w:val="0"/>
      <w:marRight w:val="0"/>
      <w:marTop w:val="0"/>
      <w:marBottom w:val="0"/>
      <w:divBdr>
        <w:top w:val="none" w:sz="0" w:space="0" w:color="auto"/>
        <w:left w:val="none" w:sz="0" w:space="0" w:color="auto"/>
        <w:bottom w:val="none" w:sz="0" w:space="0" w:color="auto"/>
        <w:right w:val="none" w:sz="0" w:space="0" w:color="auto"/>
      </w:divBdr>
    </w:div>
    <w:div w:id="475489002">
      <w:bodyDiv w:val="1"/>
      <w:marLeft w:val="0"/>
      <w:marRight w:val="0"/>
      <w:marTop w:val="0"/>
      <w:marBottom w:val="0"/>
      <w:divBdr>
        <w:top w:val="none" w:sz="0" w:space="0" w:color="auto"/>
        <w:left w:val="none" w:sz="0" w:space="0" w:color="auto"/>
        <w:bottom w:val="none" w:sz="0" w:space="0" w:color="auto"/>
        <w:right w:val="none" w:sz="0" w:space="0" w:color="auto"/>
      </w:divBdr>
    </w:div>
    <w:div w:id="480584256">
      <w:bodyDiv w:val="1"/>
      <w:marLeft w:val="0"/>
      <w:marRight w:val="0"/>
      <w:marTop w:val="0"/>
      <w:marBottom w:val="0"/>
      <w:divBdr>
        <w:top w:val="none" w:sz="0" w:space="0" w:color="auto"/>
        <w:left w:val="none" w:sz="0" w:space="0" w:color="auto"/>
        <w:bottom w:val="none" w:sz="0" w:space="0" w:color="auto"/>
        <w:right w:val="none" w:sz="0" w:space="0" w:color="auto"/>
      </w:divBdr>
    </w:div>
    <w:div w:id="481193137">
      <w:bodyDiv w:val="1"/>
      <w:marLeft w:val="0"/>
      <w:marRight w:val="0"/>
      <w:marTop w:val="0"/>
      <w:marBottom w:val="0"/>
      <w:divBdr>
        <w:top w:val="none" w:sz="0" w:space="0" w:color="auto"/>
        <w:left w:val="none" w:sz="0" w:space="0" w:color="auto"/>
        <w:bottom w:val="none" w:sz="0" w:space="0" w:color="auto"/>
        <w:right w:val="none" w:sz="0" w:space="0" w:color="auto"/>
      </w:divBdr>
    </w:div>
    <w:div w:id="483133476">
      <w:bodyDiv w:val="1"/>
      <w:marLeft w:val="0"/>
      <w:marRight w:val="0"/>
      <w:marTop w:val="0"/>
      <w:marBottom w:val="0"/>
      <w:divBdr>
        <w:top w:val="none" w:sz="0" w:space="0" w:color="auto"/>
        <w:left w:val="none" w:sz="0" w:space="0" w:color="auto"/>
        <w:bottom w:val="none" w:sz="0" w:space="0" w:color="auto"/>
        <w:right w:val="none" w:sz="0" w:space="0" w:color="auto"/>
      </w:divBdr>
    </w:div>
    <w:div w:id="496503334">
      <w:bodyDiv w:val="1"/>
      <w:marLeft w:val="0"/>
      <w:marRight w:val="0"/>
      <w:marTop w:val="0"/>
      <w:marBottom w:val="0"/>
      <w:divBdr>
        <w:top w:val="none" w:sz="0" w:space="0" w:color="auto"/>
        <w:left w:val="none" w:sz="0" w:space="0" w:color="auto"/>
        <w:bottom w:val="none" w:sz="0" w:space="0" w:color="auto"/>
        <w:right w:val="none" w:sz="0" w:space="0" w:color="auto"/>
      </w:divBdr>
    </w:div>
    <w:div w:id="500197695">
      <w:bodyDiv w:val="1"/>
      <w:marLeft w:val="0"/>
      <w:marRight w:val="0"/>
      <w:marTop w:val="0"/>
      <w:marBottom w:val="0"/>
      <w:divBdr>
        <w:top w:val="none" w:sz="0" w:space="0" w:color="auto"/>
        <w:left w:val="none" w:sz="0" w:space="0" w:color="auto"/>
        <w:bottom w:val="none" w:sz="0" w:space="0" w:color="auto"/>
        <w:right w:val="none" w:sz="0" w:space="0" w:color="auto"/>
      </w:divBdr>
    </w:div>
    <w:div w:id="531192643">
      <w:bodyDiv w:val="1"/>
      <w:marLeft w:val="0"/>
      <w:marRight w:val="0"/>
      <w:marTop w:val="0"/>
      <w:marBottom w:val="0"/>
      <w:divBdr>
        <w:top w:val="none" w:sz="0" w:space="0" w:color="auto"/>
        <w:left w:val="none" w:sz="0" w:space="0" w:color="auto"/>
        <w:bottom w:val="none" w:sz="0" w:space="0" w:color="auto"/>
        <w:right w:val="none" w:sz="0" w:space="0" w:color="auto"/>
      </w:divBdr>
    </w:div>
    <w:div w:id="552277641">
      <w:marLeft w:val="0"/>
      <w:marRight w:val="0"/>
      <w:marTop w:val="0"/>
      <w:marBottom w:val="0"/>
      <w:divBdr>
        <w:top w:val="none" w:sz="0" w:space="0" w:color="auto"/>
        <w:left w:val="none" w:sz="0" w:space="0" w:color="auto"/>
        <w:bottom w:val="none" w:sz="0" w:space="0" w:color="auto"/>
        <w:right w:val="none" w:sz="0" w:space="0" w:color="auto"/>
      </w:divBdr>
    </w:div>
    <w:div w:id="557135508">
      <w:bodyDiv w:val="1"/>
      <w:marLeft w:val="0"/>
      <w:marRight w:val="0"/>
      <w:marTop w:val="0"/>
      <w:marBottom w:val="0"/>
      <w:divBdr>
        <w:top w:val="none" w:sz="0" w:space="0" w:color="auto"/>
        <w:left w:val="none" w:sz="0" w:space="0" w:color="auto"/>
        <w:bottom w:val="none" w:sz="0" w:space="0" w:color="auto"/>
        <w:right w:val="none" w:sz="0" w:space="0" w:color="auto"/>
      </w:divBdr>
    </w:div>
    <w:div w:id="557741128">
      <w:bodyDiv w:val="1"/>
      <w:marLeft w:val="0"/>
      <w:marRight w:val="0"/>
      <w:marTop w:val="0"/>
      <w:marBottom w:val="0"/>
      <w:divBdr>
        <w:top w:val="none" w:sz="0" w:space="0" w:color="auto"/>
        <w:left w:val="none" w:sz="0" w:space="0" w:color="auto"/>
        <w:bottom w:val="none" w:sz="0" w:space="0" w:color="auto"/>
        <w:right w:val="none" w:sz="0" w:space="0" w:color="auto"/>
      </w:divBdr>
    </w:div>
    <w:div w:id="564070037">
      <w:bodyDiv w:val="1"/>
      <w:marLeft w:val="0"/>
      <w:marRight w:val="0"/>
      <w:marTop w:val="0"/>
      <w:marBottom w:val="0"/>
      <w:divBdr>
        <w:top w:val="none" w:sz="0" w:space="0" w:color="auto"/>
        <w:left w:val="none" w:sz="0" w:space="0" w:color="auto"/>
        <w:bottom w:val="none" w:sz="0" w:space="0" w:color="auto"/>
        <w:right w:val="none" w:sz="0" w:space="0" w:color="auto"/>
      </w:divBdr>
    </w:div>
    <w:div w:id="565800683">
      <w:bodyDiv w:val="1"/>
      <w:marLeft w:val="0"/>
      <w:marRight w:val="0"/>
      <w:marTop w:val="0"/>
      <w:marBottom w:val="0"/>
      <w:divBdr>
        <w:top w:val="none" w:sz="0" w:space="0" w:color="auto"/>
        <w:left w:val="none" w:sz="0" w:space="0" w:color="auto"/>
        <w:bottom w:val="none" w:sz="0" w:space="0" w:color="auto"/>
        <w:right w:val="none" w:sz="0" w:space="0" w:color="auto"/>
      </w:divBdr>
    </w:div>
    <w:div w:id="566962979">
      <w:bodyDiv w:val="1"/>
      <w:marLeft w:val="0"/>
      <w:marRight w:val="0"/>
      <w:marTop w:val="0"/>
      <w:marBottom w:val="0"/>
      <w:divBdr>
        <w:top w:val="none" w:sz="0" w:space="0" w:color="auto"/>
        <w:left w:val="none" w:sz="0" w:space="0" w:color="auto"/>
        <w:bottom w:val="none" w:sz="0" w:space="0" w:color="auto"/>
        <w:right w:val="none" w:sz="0" w:space="0" w:color="auto"/>
      </w:divBdr>
    </w:div>
    <w:div w:id="573321762">
      <w:bodyDiv w:val="1"/>
      <w:marLeft w:val="0"/>
      <w:marRight w:val="0"/>
      <w:marTop w:val="0"/>
      <w:marBottom w:val="0"/>
      <w:divBdr>
        <w:top w:val="none" w:sz="0" w:space="0" w:color="auto"/>
        <w:left w:val="none" w:sz="0" w:space="0" w:color="auto"/>
        <w:bottom w:val="none" w:sz="0" w:space="0" w:color="auto"/>
        <w:right w:val="none" w:sz="0" w:space="0" w:color="auto"/>
      </w:divBdr>
    </w:div>
    <w:div w:id="589702381">
      <w:bodyDiv w:val="1"/>
      <w:marLeft w:val="0"/>
      <w:marRight w:val="0"/>
      <w:marTop w:val="0"/>
      <w:marBottom w:val="0"/>
      <w:divBdr>
        <w:top w:val="none" w:sz="0" w:space="0" w:color="auto"/>
        <w:left w:val="none" w:sz="0" w:space="0" w:color="auto"/>
        <w:bottom w:val="none" w:sz="0" w:space="0" w:color="auto"/>
        <w:right w:val="none" w:sz="0" w:space="0" w:color="auto"/>
      </w:divBdr>
    </w:div>
    <w:div w:id="609818795">
      <w:bodyDiv w:val="1"/>
      <w:marLeft w:val="0"/>
      <w:marRight w:val="0"/>
      <w:marTop w:val="0"/>
      <w:marBottom w:val="0"/>
      <w:divBdr>
        <w:top w:val="none" w:sz="0" w:space="0" w:color="auto"/>
        <w:left w:val="none" w:sz="0" w:space="0" w:color="auto"/>
        <w:bottom w:val="none" w:sz="0" w:space="0" w:color="auto"/>
        <w:right w:val="none" w:sz="0" w:space="0" w:color="auto"/>
      </w:divBdr>
    </w:div>
    <w:div w:id="616912956">
      <w:bodyDiv w:val="1"/>
      <w:marLeft w:val="0"/>
      <w:marRight w:val="0"/>
      <w:marTop w:val="0"/>
      <w:marBottom w:val="0"/>
      <w:divBdr>
        <w:top w:val="none" w:sz="0" w:space="0" w:color="auto"/>
        <w:left w:val="none" w:sz="0" w:space="0" w:color="auto"/>
        <w:bottom w:val="none" w:sz="0" w:space="0" w:color="auto"/>
        <w:right w:val="none" w:sz="0" w:space="0" w:color="auto"/>
      </w:divBdr>
    </w:div>
    <w:div w:id="636566373">
      <w:bodyDiv w:val="1"/>
      <w:marLeft w:val="0"/>
      <w:marRight w:val="0"/>
      <w:marTop w:val="0"/>
      <w:marBottom w:val="0"/>
      <w:divBdr>
        <w:top w:val="none" w:sz="0" w:space="0" w:color="auto"/>
        <w:left w:val="none" w:sz="0" w:space="0" w:color="auto"/>
        <w:bottom w:val="none" w:sz="0" w:space="0" w:color="auto"/>
        <w:right w:val="none" w:sz="0" w:space="0" w:color="auto"/>
      </w:divBdr>
    </w:div>
    <w:div w:id="647707197">
      <w:bodyDiv w:val="1"/>
      <w:marLeft w:val="0"/>
      <w:marRight w:val="0"/>
      <w:marTop w:val="0"/>
      <w:marBottom w:val="0"/>
      <w:divBdr>
        <w:top w:val="none" w:sz="0" w:space="0" w:color="auto"/>
        <w:left w:val="none" w:sz="0" w:space="0" w:color="auto"/>
        <w:bottom w:val="none" w:sz="0" w:space="0" w:color="auto"/>
        <w:right w:val="none" w:sz="0" w:space="0" w:color="auto"/>
      </w:divBdr>
    </w:div>
    <w:div w:id="653336611">
      <w:bodyDiv w:val="1"/>
      <w:marLeft w:val="0"/>
      <w:marRight w:val="0"/>
      <w:marTop w:val="0"/>
      <w:marBottom w:val="0"/>
      <w:divBdr>
        <w:top w:val="none" w:sz="0" w:space="0" w:color="auto"/>
        <w:left w:val="none" w:sz="0" w:space="0" w:color="auto"/>
        <w:bottom w:val="none" w:sz="0" w:space="0" w:color="auto"/>
        <w:right w:val="none" w:sz="0" w:space="0" w:color="auto"/>
      </w:divBdr>
    </w:div>
    <w:div w:id="656417705">
      <w:bodyDiv w:val="1"/>
      <w:marLeft w:val="0"/>
      <w:marRight w:val="0"/>
      <w:marTop w:val="0"/>
      <w:marBottom w:val="0"/>
      <w:divBdr>
        <w:top w:val="none" w:sz="0" w:space="0" w:color="auto"/>
        <w:left w:val="none" w:sz="0" w:space="0" w:color="auto"/>
        <w:bottom w:val="none" w:sz="0" w:space="0" w:color="auto"/>
        <w:right w:val="none" w:sz="0" w:space="0" w:color="auto"/>
      </w:divBdr>
    </w:div>
    <w:div w:id="675546549">
      <w:bodyDiv w:val="1"/>
      <w:marLeft w:val="0"/>
      <w:marRight w:val="0"/>
      <w:marTop w:val="0"/>
      <w:marBottom w:val="0"/>
      <w:divBdr>
        <w:top w:val="none" w:sz="0" w:space="0" w:color="auto"/>
        <w:left w:val="none" w:sz="0" w:space="0" w:color="auto"/>
        <w:bottom w:val="none" w:sz="0" w:space="0" w:color="auto"/>
        <w:right w:val="none" w:sz="0" w:space="0" w:color="auto"/>
      </w:divBdr>
    </w:div>
    <w:div w:id="682783876">
      <w:bodyDiv w:val="1"/>
      <w:marLeft w:val="0"/>
      <w:marRight w:val="0"/>
      <w:marTop w:val="0"/>
      <w:marBottom w:val="0"/>
      <w:divBdr>
        <w:top w:val="none" w:sz="0" w:space="0" w:color="auto"/>
        <w:left w:val="none" w:sz="0" w:space="0" w:color="auto"/>
        <w:bottom w:val="none" w:sz="0" w:space="0" w:color="auto"/>
        <w:right w:val="none" w:sz="0" w:space="0" w:color="auto"/>
      </w:divBdr>
    </w:div>
    <w:div w:id="698703055">
      <w:bodyDiv w:val="1"/>
      <w:marLeft w:val="0"/>
      <w:marRight w:val="0"/>
      <w:marTop w:val="0"/>
      <w:marBottom w:val="0"/>
      <w:divBdr>
        <w:top w:val="none" w:sz="0" w:space="0" w:color="auto"/>
        <w:left w:val="none" w:sz="0" w:space="0" w:color="auto"/>
        <w:bottom w:val="none" w:sz="0" w:space="0" w:color="auto"/>
        <w:right w:val="none" w:sz="0" w:space="0" w:color="auto"/>
      </w:divBdr>
    </w:div>
    <w:div w:id="708182702">
      <w:marLeft w:val="0"/>
      <w:marRight w:val="0"/>
      <w:marTop w:val="0"/>
      <w:marBottom w:val="0"/>
      <w:divBdr>
        <w:top w:val="none" w:sz="0" w:space="0" w:color="auto"/>
        <w:left w:val="none" w:sz="0" w:space="0" w:color="auto"/>
        <w:bottom w:val="none" w:sz="0" w:space="0" w:color="auto"/>
        <w:right w:val="none" w:sz="0" w:space="0" w:color="auto"/>
      </w:divBdr>
    </w:div>
    <w:div w:id="709648664">
      <w:bodyDiv w:val="1"/>
      <w:marLeft w:val="0"/>
      <w:marRight w:val="0"/>
      <w:marTop w:val="0"/>
      <w:marBottom w:val="0"/>
      <w:divBdr>
        <w:top w:val="none" w:sz="0" w:space="0" w:color="auto"/>
        <w:left w:val="none" w:sz="0" w:space="0" w:color="auto"/>
        <w:bottom w:val="none" w:sz="0" w:space="0" w:color="auto"/>
        <w:right w:val="none" w:sz="0" w:space="0" w:color="auto"/>
      </w:divBdr>
    </w:div>
    <w:div w:id="722871957">
      <w:bodyDiv w:val="1"/>
      <w:marLeft w:val="0"/>
      <w:marRight w:val="0"/>
      <w:marTop w:val="0"/>
      <w:marBottom w:val="0"/>
      <w:divBdr>
        <w:top w:val="none" w:sz="0" w:space="0" w:color="auto"/>
        <w:left w:val="none" w:sz="0" w:space="0" w:color="auto"/>
        <w:bottom w:val="none" w:sz="0" w:space="0" w:color="auto"/>
        <w:right w:val="none" w:sz="0" w:space="0" w:color="auto"/>
      </w:divBdr>
    </w:div>
    <w:div w:id="731082211">
      <w:bodyDiv w:val="1"/>
      <w:marLeft w:val="0"/>
      <w:marRight w:val="0"/>
      <w:marTop w:val="0"/>
      <w:marBottom w:val="0"/>
      <w:divBdr>
        <w:top w:val="none" w:sz="0" w:space="0" w:color="auto"/>
        <w:left w:val="none" w:sz="0" w:space="0" w:color="auto"/>
        <w:bottom w:val="none" w:sz="0" w:space="0" w:color="auto"/>
        <w:right w:val="none" w:sz="0" w:space="0" w:color="auto"/>
      </w:divBdr>
    </w:div>
    <w:div w:id="732041039">
      <w:bodyDiv w:val="1"/>
      <w:marLeft w:val="0"/>
      <w:marRight w:val="0"/>
      <w:marTop w:val="0"/>
      <w:marBottom w:val="0"/>
      <w:divBdr>
        <w:top w:val="none" w:sz="0" w:space="0" w:color="auto"/>
        <w:left w:val="none" w:sz="0" w:space="0" w:color="auto"/>
        <w:bottom w:val="none" w:sz="0" w:space="0" w:color="auto"/>
        <w:right w:val="none" w:sz="0" w:space="0" w:color="auto"/>
      </w:divBdr>
    </w:div>
    <w:div w:id="742410506">
      <w:bodyDiv w:val="1"/>
      <w:marLeft w:val="0"/>
      <w:marRight w:val="0"/>
      <w:marTop w:val="0"/>
      <w:marBottom w:val="0"/>
      <w:divBdr>
        <w:top w:val="none" w:sz="0" w:space="0" w:color="auto"/>
        <w:left w:val="none" w:sz="0" w:space="0" w:color="auto"/>
        <w:bottom w:val="none" w:sz="0" w:space="0" w:color="auto"/>
        <w:right w:val="none" w:sz="0" w:space="0" w:color="auto"/>
      </w:divBdr>
    </w:div>
    <w:div w:id="743843739">
      <w:bodyDiv w:val="1"/>
      <w:marLeft w:val="0"/>
      <w:marRight w:val="0"/>
      <w:marTop w:val="0"/>
      <w:marBottom w:val="0"/>
      <w:divBdr>
        <w:top w:val="none" w:sz="0" w:space="0" w:color="auto"/>
        <w:left w:val="none" w:sz="0" w:space="0" w:color="auto"/>
        <w:bottom w:val="none" w:sz="0" w:space="0" w:color="auto"/>
        <w:right w:val="none" w:sz="0" w:space="0" w:color="auto"/>
      </w:divBdr>
    </w:div>
    <w:div w:id="745154458">
      <w:bodyDiv w:val="1"/>
      <w:marLeft w:val="0"/>
      <w:marRight w:val="0"/>
      <w:marTop w:val="0"/>
      <w:marBottom w:val="0"/>
      <w:divBdr>
        <w:top w:val="none" w:sz="0" w:space="0" w:color="auto"/>
        <w:left w:val="none" w:sz="0" w:space="0" w:color="auto"/>
        <w:bottom w:val="none" w:sz="0" w:space="0" w:color="auto"/>
        <w:right w:val="none" w:sz="0" w:space="0" w:color="auto"/>
      </w:divBdr>
    </w:div>
    <w:div w:id="749933432">
      <w:bodyDiv w:val="1"/>
      <w:marLeft w:val="0"/>
      <w:marRight w:val="0"/>
      <w:marTop w:val="0"/>
      <w:marBottom w:val="0"/>
      <w:divBdr>
        <w:top w:val="none" w:sz="0" w:space="0" w:color="auto"/>
        <w:left w:val="none" w:sz="0" w:space="0" w:color="auto"/>
        <w:bottom w:val="none" w:sz="0" w:space="0" w:color="auto"/>
        <w:right w:val="none" w:sz="0" w:space="0" w:color="auto"/>
      </w:divBdr>
    </w:div>
    <w:div w:id="752776908">
      <w:bodyDiv w:val="1"/>
      <w:marLeft w:val="0"/>
      <w:marRight w:val="0"/>
      <w:marTop w:val="0"/>
      <w:marBottom w:val="0"/>
      <w:divBdr>
        <w:top w:val="none" w:sz="0" w:space="0" w:color="auto"/>
        <w:left w:val="none" w:sz="0" w:space="0" w:color="auto"/>
        <w:bottom w:val="none" w:sz="0" w:space="0" w:color="auto"/>
        <w:right w:val="none" w:sz="0" w:space="0" w:color="auto"/>
      </w:divBdr>
    </w:div>
    <w:div w:id="785655345">
      <w:bodyDiv w:val="1"/>
      <w:marLeft w:val="0"/>
      <w:marRight w:val="0"/>
      <w:marTop w:val="0"/>
      <w:marBottom w:val="0"/>
      <w:divBdr>
        <w:top w:val="none" w:sz="0" w:space="0" w:color="auto"/>
        <w:left w:val="none" w:sz="0" w:space="0" w:color="auto"/>
        <w:bottom w:val="none" w:sz="0" w:space="0" w:color="auto"/>
        <w:right w:val="none" w:sz="0" w:space="0" w:color="auto"/>
      </w:divBdr>
    </w:div>
    <w:div w:id="785809045">
      <w:bodyDiv w:val="1"/>
      <w:marLeft w:val="0"/>
      <w:marRight w:val="0"/>
      <w:marTop w:val="0"/>
      <w:marBottom w:val="0"/>
      <w:divBdr>
        <w:top w:val="none" w:sz="0" w:space="0" w:color="auto"/>
        <w:left w:val="none" w:sz="0" w:space="0" w:color="auto"/>
        <w:bottom w:val="none" w:sz="0" w:space="0" w:color="auto"/>
        <w:right w:val="none" w:sz="0" w:space="0" w:color="auto"/>
      </w:divBdr>
    </w:div>
    <w:div w:id="792476479">
      <w:bodyDiv w:val="1"/>
      <w:marLeft w:val="0"/>
      <w:marRight w:val="0"/>
      <w:marTop w:val="0"/>
      <w:marBottom w:val="0"/>
      <w:divBdr>
        <w:top w:val="none" w:sz="0" w:space="0" w:color="auto"/>
        <w:left w:val="none" w:sz="0" w:space="0" w:color="auto"/>
        <w:bottom w:val="none" w:sz="0" w:space="0" w:color="auto"/>
        <w:right w:val="none" w:sz="0" w:space="0" w:color="auto"/>
      </w:divBdr>
    </w:div>
    <w:div w:id="794327295">
      <w:bodyDiv w:val="1"/>
      <w:marLeft w:val="0"/>
      <w:marRight w:val="0"/>
      <w:marTop w:val="0"/>
      <w:marBottom w:val="0"/>
      <w:divBdr>
        <w:top w:val="none" w:sz="0" w:space="0" w:color="auto"/>
        <w:left w:val="none" w:sz="0" w:space="0" w:color="auto"/>
        <w:bottom w:val="none" w:sz="0" w:space="0" w:color="auto"/>
        <w:right w:val="none" w:sz="0" w:space="0" w:color="auto"/>
      </w:divBdr>
    </w:div>
    <w:div w:id="797533890">
      <w:bodyDiv w:val="1"/>
      <w:marLeft w:val="0"/>
      <w:marRight w:val="0"/>
      <w:marTop w:val="0"/>
      <w:marBottom w:val="0"/>
      <w:divBdr>
        <w:top w:val="none" w:sz="0" w:space="0" w:color="auto"/>
        <w:left w:val="none" w:sz="0" w:space="0" w:color="auto"/>
        <w:bottom w:val="none" w:sz="0" w:space="0" w:color="auto"/>
        <w:right w:val="none" w:sz="0" w:space="0" w:color="auto"/>
      </w:divBdr>
    </w:div>
    <w:div w:id="802192373">
      <w:bodyDiv w:val="1"/>
      <w:marLeft w:val="0"/>
      <w:marRight w:val="0"/>
      <w:marTop w:val="0"/>
      <w:marBottom w:val="0"/>
      <w:divBdr>
        <w:top w:val="none" w:sz="0" w:space="0" w:color="auto"/>
        <w:left w:val="none" w:sz="0" w:space="0" w:color="auto"/>
        <w:bottom w:val="none" w:sz="0" w:space="0" w:color="auto"/>
        <w:right w:val="none" w:sz="0" w:space="0" w:color="auto"/>
      </w:divBdr>
    </w:div>
    <w:div w:id="831481214">
      <w:bodyDiv w:val="1"/>
      <w:marLeft w:val="0"/>
      <w:marRight w:val="0"/>
      <w:marTop w:val="0"/>
      <w:marBottom w:val="0"/>
      <w:divBdr>
        <w:top w:val="none" w:sz="0" w:space="0" w:color="auto"/>
        <w:left w:val="none" w:sz="0" w:space="0" w:color="auto"/>
        <w:bottom w:val="none" w:sz="0" w:space="0" w:color="auto"/>
        <w:right w:val="none" w:sz="0" w:space="0" w:color="auto"/>
      </w:divBdr>
    </w:div>
    <w:div w:id="835846659">
      <w:bodyDiv w:val="1"/>
      <w:marLeft w:val="0"/>
      <w:marRight w:val="0"/>
      <w:marTop w:val="0"/>
      <w:marBottom w:val="0"/>
      <w:divBdr>
        <w:top w:val="none" w:sz="0" w:space="0" w:color="auto"/>
        <w:left w:val="none" w:sz="0" w:space="0" w:color="auto"/>
        <w:bottom w:val="none" w:sz="0" w:space="0" w:color="auto"/>
        <w:right w:val="none" w:sz="0" w:space="0" w:color="auto"/>
      </w:divBdr>
    </w:div>
    <w:div w:id="846140479">
      <w:bodyDiv w:val="1"/>
      <w:marLeft w:val="0"/>
      <w:marRight w:val="0"/>
      <w:marTop w:val="0"/>
      <w:marBottom w:val="0"/>
      <w:divBdr>
        <w:top w:val="none" w:sz="0" w:space="0" w:color="auto"/>
        <w:left w:val="none" w:sz="0" w:space="0" w:color="auto"/>
        <w:bottom w:val="none" w:sz="0" w:space="0" w:color="auto"/>
        <w:right w:val="none" w:sz="0" w:space="0" w:color="auto"/>
      </w:divBdr>
    </w:div>
    <w:div w:id="866333701">
      <w:bodyDiv w:val="1"/>
      <w:marLeft w:val="0"/>
      <w:marRight w:val="0"/>
      <w:marTop w:val="0"/>
      <w:marBottom w:val="0"/>
      <w:divBdr>
        <w:top w:val="none" w:sz="0" w:space="0" w:color="auto"/>
        <w:left w:val="none" w:sz="0" w:space="0" w:color="auto"/>
        <w:bottom w:val="none" w:sz="0" w:space="0" w:color="auto"/>
        <w:right w:val="none" w:sz="0" w:space="0" w:color="auto"/>
      </w:divBdr>
    </w:div>
    <w:div w:id="871844784">
      <w:bodyDiv w:val="1"/>
      <w:marLeft w:val="0"/>
      <w:marRight w:val="0"/>
      <w:marTop w:val="0"/>
      <w:marBottom w:val="0"/>
      <w:divBdr>
        <w:top w:val="none" w:sz="0" w:space="0" w:color="auto"/>
        <w:left w:val="none" w:sz="0" w:space="0" w:color="auto"/>
        <w:bottom w:val="none" w:sz="0" w:space="0" w:color="auto"/>
        <w:right w:val="none" w:sz="0" w:space="0" w:color="auto"/>
      </w:divBdr>
    </w:div>
    <w:div w:id="872379971">
      <w:bodyDiv w:val="1"/>
      <w:marLeft w:val="0"/>
      <w:marRight w:val="0"/>
      <w:marTop w:val="0"/>
      <w:marBottom w:val="0"/>
      <w:divBdr>
        <w:top w:val="none" w:sz="0" w:space="0" w:color="auto"/>
        <w:left w:val="none" w:sz="0" w:space="0" w:color="auto"/>
        <w:bottom w:val="none" w:sz="0" w:space="0" w:color="auto"/>
        <w:right w:val="none" w:sz="0" w:space="0" w:color="auto"/>
      </w:divBdr>
    </w:div>
    <w:div w:id="885028353">
      <w:bodyDiv w:val="1"/>
      <w:marLeft w:val="0"/>
      <w:marRight w:val="0"/>
      <w:marTop w:val="0"/>
      <w:marBottom w:val="0"/>
      <w:divBdr>
        <w:top w:val="none" w:sz="0" w:space="0" w:color="auto"/>
        <w:left w:val="none" w:sz="0" w:space="0" w:color="auto"/>
        <w:bottom w:val="none" w:sz="0" w:space="0" w:color="auto"/>
        <w:right w:val="none" w:sz="0" w:space="0" w:color="auto"/>
      </w:divBdr>
    </w:div>
    <w:div w:id="904100470">
      <w:marLeft w:val="0"/>
      <w:marRight w:val="0"/>
      <w:marTop w:val="0"/>
      <w:marBottom w:val="0"/>
      <w:divBdr>
        <w:top w:val="none" w:sz="0" w:space="0" w:color="auto"/>
        <w:left w:val="none" w:sz="0" w:space="0" w:color="auto"/>
        <w:bottom w:val="none" w:sz="0" w:space="0" w:color="auto"/>
        <w:right w:val="none" w:sz="0" w:space="0" w:color="auto"/>
      </w:divBdr>
    </w:div>
    <w:div w:id="906376368">
      <w:bodyDiv w:val="1"/>
      <w:marLeft w:val="0"/>
      <w:marRight w:val="0"/>
      <w:marTop w:val="0"/>
      <w:marBottom w:val="0"/>
      <w:divBdr>
        <w:top w:val="none" w:sz="0" w:space="0" w:color="auto"/>
        <w:left w:val="none" w:sz="0" w:space="0" w:color="auto"/>
        <w:bottom w:val="none" w:sz="0" w:space="0" w:color="auto"/>
        <w:right w:val="none" w:sz="0" w:space="0" w:color="auto"/>
      </w:divBdr>
    </w:div>
    <w:div w:id="916939191">
      <w:bodyDiv w:val="1"/>
      <w:marLeft w:val="0"/>
      <w:marRight w:val="0"/>
      <w:marTop w:val="0"/>
      <w:marBottom w:val="0"/>
      <w:divBdr>
        <w:top w:val="none" w:sz="0" w:space="0" w:color="auto"/>
        <w:left w:val="none" w:sz="0" w:space="0" w:color="auto"/>
        <w:bottom w:val="none" w:sz="0" w:space="0" w:color="auto"/>
        <w:right w:val="none" w:sz="0" w:space="0" w:color="auto"/>
      </w:divBdr>
    </w:div>
    <w:div w:id="919489688">
      <w:bodyDiv w:val="1"/>
      <w:marLeft w:val="0"/>
      <w:marRight w:val="0"/>
      <w:marTop w:val="0"/>
      <w:marBottom w:val="0"/>
      <w:divBdr>
        <w:top w:val="none" w:sz="0" w:space="0" w:color="auto"/>
        <w:left w:val="none" w:sz="0" w:space="0" w:color="auto"/>
        <w:bottom w:val="none" w:sz="0" w:space="0" w:color="auto"/>
        <w:right w:val="none" w:sz="0" w:space="0" w:color="auto"/>
      </w:divBdr>
    </w:div>
    <w:div w:id="932127216">
      <w:bodyDiv w:val="1"/>
      <w:marLeft w:val="0"/>
      <w:marRight w:val="0"/>
      <w:marTop w:val="0"/>
      <w:marBottom w:val="0"/>
      <w:divBdr>
        <w:top w:val="none" w:sz="0" w:space="0" w:color="auto"/>
        <w:left w:val="none" w:sz="0" w:space="0" w:color="auto"/>
        <w:bottom w:val="none" w:sz="0" w:space="0" w:color="auto"/>
        <w:right w:val="none" w:sz="0" w:space="0" w:color="auto"/>
      </w:divBdr>
    </w:div>
    <w:div w:id="932208435">
      <w:bodyDiv w:val="1"/>
      <w:marLeft w:val="0"/>
      <w:marRight w:val="0"/>
      <w:marTop w:val="0"/>
      <w:marBottom w:val="0"/>
      <w:divBdr>
        <w:top w:val="none" w:sz="0" w:space="0" w:color="auto"/>
        <w:left w:val="none" w:sz="0" w:space="0" w:color="auto"/>
        <w:bottom w:val="none" w:sz="0" w:space="0" w:color="auto"/>
        <w:right w:val="none" w:sz="0" w:space="0" w:color="auto"/>
      </w:divBdr>
    </w:div>
    <w:div w:id="939752353">
      <w:bodyDiv w:val="1"/>
      <w:marLeft w:val="0"/>
      <w:marRight w:val="0"/>
      <w:marTop w:val="0"/>
      <w:marBottom w:val="0"/>
      <w:divBdr>
        <w:top w:val="none" w:sz="0" w:space="0" w:color="auto"/>
        <w:left w:val="none" w:sz="0" w:space="0" w:color="auto"/>
        <w:bottom w:val="none" w:sz="0" w:space="0" w:color="auto"/>
        <w:right w:val="none" w:sz="0" w:space="0" w:color="auto"/>
      </w:divBdr>
    </w:div>
    <w:div w:id="939869918">
      <w:bodyDiv w:val="1"/>
      <w:marLeft w:val="0"/>
      <w:marRight w:val="0"/>
      <w:marTop w:val="0"/>
      <w:marBottom w:val="0"/>
      <w:divBdr>
        <w:top w:val="none" w:sz="0" w:space="0" w:color="auto"/>
        <w:left w:val="none" w:sz="0" w:space="0" w:color="auto"/>
        <w:bottom w:val="none" w:sz="0" w:space="0" w:color="auto"/>
        <w:right w:val="none" w:sz="0" w:space="0" w:color="auto"/>
      </w:divBdr>
    </w:div>
    <w:div w:id="942616193">
      <w:bodyDiv w:val="1"/>
      <w:marLeft w:val="0"/>
      <w:marRight w:val="0"/>
      <w:marTop w:val="0"/>
      <w:marBottom w:val="0"/>
      <w:divBdr>
        <w:top w:val="none" w:sz="0" w:space="0" w:color="auto"/>
        <w:left w:val="none" w:sz="0" w:space="0" w:color="auto"/>
        <w:bottom w:val="none" w:sz="0" w:space="0" w:color="auto"/>
        <w:right w:val="none" w:sz="0" w:space="0" w:color="auto"/>
      </w:divBdr>
    </w:div>
    <w:div w:id="942685861">
      <w:bodyDiv w:val="1"/>
      <w:marLeft w:val="0"/>
      <w:marRight w:val="0"/>
      <w:marTop w:val="0"/>
      <w:marBottom w:val="0"/>
      <w:divBdr>
        <w:top w:val="none" w:sz="0" w:space="0" w:color="auto"/>
        <w:left w:val="none" w:sz="0" w:space="0" w:color="auto"/>
        <w:bottom w:val="none" w:sz="0" w:space="0" w:color="auto"/>
        <w:right w:val="none" w:sz="0" w:space="0" w:color="auto"/>
      </w:divBdr>
    </w:div>
    <w:div w:id="957419394">
      <w:bodyDiv w:val="1"/>
      <w:marLeft w:val="0"/>
      <w:marRight w:val="0"/>
      <w:marTop w:val="0"/>
      <w:marBottom w:val="0"/>
      <w:divBdr>
        <w:top w:val="none" w:sz="0" w:space="0" w:color="auto"/>
        <w:left w:val="none" w:sz="0" w:space="0" w:color="auto"/>
        <w:bottom w:val="none" w:sz="0" w:space="0" w:color="auto"/>
        <w:right w:val="none" w:sz="0" w:space="0" w:color="auto"/>
      </w:divBdr>
    </w:div>
    <w:div w:id="963270028">
      <w:bodyDiv w:val="1"/>
      <w:marLeft w:val="0"/>
      <w:marRight w:val="0"/>
      <w:marTop w:val="0"/>
      <w:marBottom w:val="0"/>
      <w:divBdr>
        <w:top w:val="none" w:sz="0" w:space="0" w:color="auto"/>
        <w:left w:val="none" w:sz="0" w:space="0" w:color="auto"/>
        <w:bottom w:val="none" w:sz="0" w:space="0" w:color="auto"/>
        <w:right w:val="none" w:sz="0" w:space="0" w:color="auto"/>
      </w:divBdr>
    </w:div>
    <w:div w:id="966547022">
      <w:bodyDiv w:val="1"/>
      <w:marLeft w:val="0"/>
      <w:marRight w:val="0"/>
      <w:marTop w:val="0"/>
      <w:marBottom w:val="0"/>
      <w:divBdr>
        <w:top w:val="none" w:sz="0" w:space="0" w:color="auto"/>
        <w:left w:val="none" w:sz="0" w:space="0" w:color="auto"/>
        <w:bottom w:val="none" w:sz="0" w:space="0" w:color="auto"/>
        <w:right w:val="none" w:sz="0" w:space="0" w:color="auto"/>
      </w:divBdr>
    </w:div>
    <w:div w:id="983193017">
      <w:bodyDiv w:val="1"/>
      <w:marLeft w:val="0"/>
      <w:marRight w:val="0"/>
      <w:marTop w:val="0"/>
      <w:marBottom w:val="0"/>
      <w:divBdr>
        <w:top w:val="none" w:sz="0" w:space="0" w:color="auto"/>
        <w:left w:val="none" w:sz="0" w:space="0" w:color="auto"/>
        <w:bottom w:val="none" w:sz="0" w:space="0" w:color="auto"/>
        <w:right w:val="none" w:sz="0" w:space="0" w:color="auto"/>
      </w:divBdr>
    </w:div>
    <w:div w:id="984625942">
      <w:bodyDiv w:val="1"/>
      <w:marLeft w:val="0"/>
      <w:marRight w:val="0"/>
      <w:marTop w:val="0"/>
      <w:marBottom w:val="0"/>
      <w:divBdr>
        <w:top w:val="none" w:sz="0" w:space="0" w:color="auto"/>
        <w:left w:val="none" w:sz="0" w:space="0" w:color="auto"/>
        <w:bottom w:val="none" w:sz="0" w:space="0" w:color="auto"/>
        <w:right w:val="none" w:sz="0" w:space="0" w:color="auto"/>
      </w:divBdr>
    </w:div>
    <w:div w:id="1006860214">
      <w:marLeft w:val="0"/>
      <w:marRight w:val="0"/>
      <w:marTop w:val="0"/>
      <w:marBottom w:val="0"/>
      <w:divBdr>
        <w:top w:val="none" w:sz="0" w:space="0" w:color="auto"/>
        <w:left w:val="none" w:sz="0" w:space="0" w:color="auto"/>
        <w:bottom w:val="none" w:sz="0" w:space="0" w:color="auto"/>
        <w:right w:val="none" w:sz="0" w:space="0" w:color="auto"/>
      </w:divBdr>
    </w:div>
    <w:div w:id="1060178031">
      <w:bodyDiv w:val="1"/>
      <w:marLeft w:val="0"/>
      <w:marRight w:val="0"/>
      <w:marTop w:val="0"/>
      <w:marBottom w:val="0"/>
      <w:divBdr>
        <w:top w:val="none" w:sz="0" w:space="0" w:color="auto"/>
        <w:left w:val="none" w:sz="0" w:space="0" w:color="auto"/>
        <w:bottom w:val="none" w:sz="0" w:space="0" w:color="auto"/>
        <w:right w:val="none" w:sz="0" w:space="0" w:color="auto"/>
      </w:divBdr>
    </w:div>
    <w:div w:id="1061756210">
      <w:bodyDiv w:val="1"/>
      <w:marLeft w:val="0"/>
      <w:marRight w:val="0"/>
      <w:marTop w:val="0"/>
      <w:marBottom w:val="0"/>
      <w:divBdr>
        <w:top w:val="none" w:sz="0" w:space="0" w:color="auto"/>
        <w:left w:val="none" w:sz="0" w:space="0" w:color="auto"/>
        <w:bottom w:val="none" w:sz="0" w:space="0" w:color="auto"/>
        <w:right w:val="none" w:sz="0" w:space="0" w:color="auto"/>
      </w:divBdr>
    </w:div>
    <w:div w:id="1064328326">
      <w:bodyDiv w:val="1"/>
      <w:marLeft w:val="0"/>
      <w:marRight w:val="0"/>
      <w:marTop w:val="0"/>
      <w:marBottom w:val="0"/>
      <w:divBdr>
        <w:top w:val="none" w:sz="0" w:space="0" w:color="auto"/>
        <w:left w:val="none" w:sz="0" w:space="0" w:color="auto"/>
        <w:bottom w:val="none" w:sz="0" w:space="0" w:color="auto"/>
        <w:right w:val="none" w:sz="0" w:space="0" w:color="auto"/>
      </w:divBdr>
    </w:div>
    <w:div w:id="1065489540">
      <w:bodyDiv w:val="1"/>
      <w:marLeft w:val="0"/>
      <w:marRight w:val="0"/>
      <w:marTop w:val="0"/>
      <w:marBottom w:val="0"/>
      <w:divBdr>
        <w:top w:val="none" w:sz="0" w:space="0" w:color="auto"/>
        <w:left w:val="none" w:sz="0" w:space="0" w:color="auto"/>
        <w:bottom w:val="none" w:sz="0" w:space="0" w:color="auto"/>
        <w:right w:val="none" w:sz="0" w:space="0" w:color="auto"/>
      </w:divBdr>
    </w:div>
    <w:div w:id="1082487035">
      <w:bodyDiv w:val="1"/>
      <w:marLeft w:val="0"/>
      <w:marRight w:val="0"/>
      <w:marTop w:val="0"/>
      <w:marBottom w:val="0"/>
      <w:divBdr>
        <w:top w:val="none" w:sz="0" w:space="0" w:color="auto"/>
        <w:left w:val="none" w:sz="0" w:space="0" w:color="auto"/>
        <w:bottom w:val="none" w:sz="0" w:space="0" w:color="auto"/>
        <w:right w:val="none" w:sz="0" w:space="0" w:color="auto"/>
      </w:divBdr>
    </w:div>
    <w:div w:id="1086608884">
      <w:bodyDiv w:val="1"/>
      <w:marLeft w:val="0"/>
      <w:marRight w:val="0"/>
      <w:marTop w:val="0"/>
      <w:marBottom w:val="0"/>
      <w:divBdr>
        <w:top w:val="none" w:sz="0" w:space="0" w:color="auto"/>
        <w:left w:val="none" w:sz="0" w:space="0" w:color="auto"/>
        <w:bottom w:val="none" w:sz="0" w:space="0" w:color="auto"/>
        <w:right w:val="none" w:sz="0" w:space="0" w:color="auto"/>
      </w:divBdr>
    </w:div>
    <w:div w:id="1092242957">
      <w:bodyDiv w:val="1"/>
      <w:marLeft w:val="0"/>
      <w:marRight w:val="0"/>
      <w:marTop w:val="0"/>
      <w:marBottom w:val="0"/>
      <w:divBdr>
        <w:top w:val="none" w:sz="0" w:space="0" w:color="auto"/>
        <w:left w:val="none" w:sz="0" w:space="0" w:color="auto"/>
        <w:bottom w:val="none" w:sz="0" w:space="0" w:color="auto"/>
        <w:right w:val="none" w:sz="0" w:space="0" w:color="auto"/>
      </w:divBdr>
    </w:div>
    <w:div w:id="1094782232">
      <w:bodyDiv w:val="1"/>
      <w:marLeft w:val="0"/>
      <w:marRight w:val="0"/>
      <w:marTop w:val="0"/>
      <w:marBottom w:val="0"/>
      <w:divBdr>
        <w:top w:val="none" w:sz="0" w:space="0" w:color="auto"/>
        <w:left w:val="none" w:sz="0" w:space="0" w:color="auto"/>
        <w:bottom w:val="none" w:sz="0" w:space="0" w:color="auto"/>
        <w:right w:val="none" w:sz="0" w:space="0" w:color="auto"/>
      </w:divBdr>
    </w:div>
    <w:div w:id="1122382321">
      <w:bodyDiv w:val="1"/>
      <w:marLeft w:val="0"/>
      <w:marRight w:val="0"/>
      <w:marTop w:val="0"/>
      <w:marBottom w:val="0"/>
      <w:divBdr>
        <w:top w:val="none" w:sz="0" w:space="0" w:color="auto"/>
        <w:left w:val="none" w:sz="0" w:space="0" w:color="auto"/>
        <w:bottom w:val="none" w:sz="0" w:space="0" w:color="auto"/>
        <w:right w:val="none" w:sz="0" w:space="0" w:color="auto"/>
      </w:divBdr>
    </w:div>
    <w:div w:id="1134181254">
      <w:bodyDiv w:val="1"/>
      <w:marLeft w:val="0"/>
      <w:marRight w:val="0"/>
      <w:marTop w:val="0"/>
      <w:marBottom w:val="0"/>
      <w:divBdr>
        <w:top w:val="none" w:sz="0" w:space="0" w:color="auto"/>
        <w:left w:val="none" w:sz="0" w:space="0" w:color="auto"/>
        <w:bottom w:val="none" w:sz="0" w:space="0" w:color="auto"/>
        <w:right w:val="none" w:sz="0" w:space="0" w:color="auto"/>
      </w:divBdr>
    </w:div>
    <w:div w:id="1140346709">
      <w:bodyDiv w:val="1"/>
      <w:marLeft w:val="0"/>
      <w:marRight w:val="0"/>
      <w:marTop w:val="0"/>
      <w:marBottom w:val="0"/>
      <w:divBdr>
        <w:top w:val="none" w:sz="0" w:space="0" w:color="auto"/>
        <w:left w:val="none" w:sz="0" w:space="0" w:color="auto"/>
        <w:bottom w:val="none" w:sz="0" w:space="0" w:color="auto"/>
        <w:right w:val="none" w:sz="0" w:space="0" w:color="auto"/>
      </w:divBdr>
    </w:div>
    <w:div w:id="1143084304">
      <w:bodyDiv w:val="1"/>
      <w:marLeft w:val="0"/>
      <w:marRight w:val="0"/>
      <w:marTop w:val="0"/>
      <w:marBottom w:val="0"/>
      <w:divBdr>
        <w:top w:val="none" w:sz="0" w:space="0" w:color="auto"/>
        <w:left w:val="none" w:sz="0" w:space="0" w:color="auto"/>
        <w:bottom w:val="none" w:sz="0" w:space="0" w:color="auto"/>
        <w:right w:val="none" w:sz="0" w:space="0" w:color="auto"/>
      </w:divBdr>
      <w:divsChild>
        <w:div w:id="356857403">
          <w:marLeft w:val="0"/>
          <w:marRight w:val="0"/>
          <w:marTop w:val="0"/>
          <w:marBottom w:val="0"/>
          <w:divBdr>
            <w:top w:val="none" w:sz="0" w:space="0" w:color="auto"/>
            <w:left w:val="none" w:sz="0" w:space="0" w:color="auto"/>
            <w:bottom w:val="none" w:sz="0" w:space="0" w:color="auto"/>
            <w:right w:val="none" w:sz="0" w:space="0" w:color="auto"/>
          </w:divBdr>
        </w:div>
        <w:div w:id="15275929">
          <w:marLeft w:val="0"/>
          <w:marRight w:val="0"/>
          <w:marTop w:val="0"/>
          <w:marBottom w:val="0"/>
          <w:divBdr>
            <w:top w:val="none" w:sz="0" w:space="0" w:color="auto"/>
            <w:left w:val="none" w:sz="0" w:space="0" w:color="auto"/>
            <w:bottom w:val="none" w:sz="0" w:space="0" w:color="auto"/>
            <w:right w:val="none" w:sz="0" w:space="0" w:color="auto"/>
          </w:divBdr>
        </w:div>
        <w:div w:id="1414620812">
          <w:marLeft w:val="0"/>
          <w:marRight w:val="0"/>
          <w:marTop w:val="0"/>
          <w:marBottom w:val="0"/>
          <w:divBdr>
            <w:top w:val="none" w:sz="0" w:space="0" w:color="auto"/>
            <w:left w:val="none" w:sz="0" w:space="0" w:color="auto"/>
            <w:bottom w:val="none" w:sz="0" w:space="0" w:color="auto"/>
            <w:right w:val="none" w:sz="0" w:space="0" w:color="auto"/>
          </w:divBdr>
        </w:div>
      </w:divsChild>
    </w:div>
    <w:div w:id="1146430104">
      <w:bodyDiv w:val="1"/>
      <w:marLeft w:val="0"/>
      <w:marRight w:val="0"/>
      <w:marTop w:val="0"/>
      <w:marBottom w:val="0"/>
      <w:divBdr>
        <w:top w:val="none" w:sz="0" w:space="0" w:color="auto"/>
        <w:left w:val="none" w:sz="0" w:space="0" w:color="auto"/>
        <w:bottom w:val="none" w:sz="0" w:space="0" w:color="auto"/>
        <w:right w:val="none" w:sz="0" w:space="0" w:color="auto"/>
      </w:divBdr>
    </w:div>
    <w:div w:id="1151292839">
      <w:bodyDiv w:val="1"/>
      <w:marLeft w:val="0"/>
      <w:marRight w:val="0"/>
      <w:marTop w:val="0"/>
      <w:marBottom w:val="0"/>
      <w:divBdr>
        <w:top w:val="none" w:sz="0" w:space="0" w:color="auto"/>
        <w:left w:val="none" w:sz="0" w:space="0" w:color="auto"/>
        <w:bottom w:val="none" w:sz="0" w:space="0" w:color="auto"/>
        <w:right w:val="none" w:sz="0" w:space="0" w:color="auto"/>
      </w:divBdr>
    </w:div>
    <w:div w:id="1153714119">
      <w:bodyDiv w:val="1"/>
      <w:marLeft w:val="0"/>
      <w:marRight w:val="0"/>
      <w:marTop w:val="0"/>
      <w:marBottom w:val="0"/>
      <w:divBdr>
        <w:top w:val="none" w:sz="0" w:space="0" w:color="auto"/>
        <w:left w:val="none" w:sz="0" w:space="0" w:color="auto"/>
        <w:bottom w:val="none" w:sz="0" w:space="0" w:color="auto"/>
        <w:right w:val="none" w:sz="0" w:space="0" w:color="auto"/>
      </w:divBdr>
    </w:div>
    <w:div w:id="1159810454">
      <w:bodyDiv w:val="1"/>
      <w:marLeft w:val="0"/>
      <w:marRight w:val="0"/>
      <w:marTop w:val="0"/>
      <w:marBottom w:val="0"/>
      <w:divBdr>
        <w:top w:val="none" w:sz="0" w:space="0" w:color="auto"/>
        <w:left w:val="none" w:sz="0" w:space="0" w:color="auto"/>
        <w:bottom w:val="none" w:sz="0" w:space="0" w:color="auto"/>
        <w:right w:val="none" w:sz="0" w:space="0" w:color="auto"/>
      </w:divBdr>
    </w:div>
    <w:div w:id="1160926509">
      <w:bodyDiv w:val="1"/>
      <w:marLeft w:val="0"/>
      <w:marRight w:val="0"/>
      <w:marTop w:val="0"/>
      <w:marBottom w:val="0"/>
      <w:divBdr>
        <w:top w:val="none" w:sz="0" w:space="0" w:color="auto"/>
        <w:left w:val="none" w:sz="0" w:space="0" w:color="auto"/>
        <w:bottom w:val="none" w:sz="0" w:space="0" w:color="auto"/>
        <w:right w:val="none" w:sz="0" w:space="0" w:color="auto"/>
      </w:divBdr>
    </w:div>
    <w:div w:id="1164275777">
      <w:bodyDiv w:val="1"/>
      <w:marLeft w:val="0"/>
      <w:marRight w:val="0"/>
      <w:marTop w:val="0"/>
      <w:marBottom w:val="0"/>
      <w:divBdr>
        <w:top w:val="none" w:sz="0" w:space="0" w:color="auto"/>
        <w:left w:val="none" w:sz="0" w:space="0" w:color="auto"/>
        <w:bottom w:val="none" w:sz="0" w:space="0" w:color="auto"/>
        <w:right w:val="none" w:sz="0" w:space="0" w:color="auto"/>
      </w:divBdr>
    </w:div>
    <w:div w:id="1176849631">
      <w:bodyDiv w:val="1"/>
      <w:marLeft w:val="0"/>
      <w:marRight w:val="0"/>
      <w:marTop w:val="0"/>
      <w:marBottom w:val="0"/>
      <w:divBdr>
        <w:top w:val="none" w:sz="0" w:space="0" w:color="auto"/>
        <w:left w:val="none" w:sz="0" w:space="0" w:color="auto"/>
        <w:bottom w:val="none" w:sz="0" w:space="0" w:color="auto"/>
        <w:right w:val="none" w:sz="0" w:space="0" w:color="auto"/>
      </w:divBdr>
    </w:div>
    <w:div w:id="1203863115">
      <w:bodyDiv w:val="1"/>
      <w:marLeft w:val="0"/>
      <w:marRight w:val="0"/>
      <w:marTop w:val="0"/>
      <w:marBottom w:val="0"/>
      <w:divBdr>
        <w:top w:val="none" w:sz="0" w:space="0" w:color="auto"/>
        <w:left w:val="none" w:sz="0" w:space="0" w:color="auto"/>
        <w:bottom w:val="none" w:sz="0" w:space="0" w:color="auto"/>
        <w:right w:val="none" w:sz="0" w:space="0" w:color="auto"/>
      </w:divBdr>
    </w:div>
    <w:div w:id="1204712734">
      <w:bodyDiv w:val="1"/>
      <w:marLeft w:val="0"/>
      <w:marRight w:val="0"/>
      <w:marTop w:val="0"/>
      <w:marBottom w:val="0"/>
      <w:divBdr>
        <w:top w:val="none" w:sz="0" w:space="0" w:color="auto"/>
        <w:left w:val="none" w:sz="0" w:space="0" w:color="auto"/>
        <w:bottom w:val="none" w:sz="0" w:space="0" w:color="auto"/>
        <w:right w:val="none" w:sz="0" w:space="0" w:color="auto"/>
      </w:divBdr>
    </w:div>
    <w:div w:id="1205364901">
      <w:bodyDiv w:val="1"/>
      <w:marLeft w:val="0"/>
      <w:marRight w:val="0"/>
      <w:marTop w:val="0"/>
      <w:marBottom w:val="0"/>
      <w:divBdr>
        <w:top w:val="none" w:sz="0" w:space="0" w:color="auto"/>
        <w:left w:val="none" w:sz="0" w:space="0" w:color="auto"/>
        <w:bottom w:val="none" w:sz="0" w:space="0" w:color="auto"/>
        <w:right w:val="none" w:sz="0" w:space="0" w:color="auto"/>
      </w:divBdr>
    </w:div>
    <w:div w:id="1206523929">
      <w:bodyDiv w:val="1"/>
      <w:marLeft w:val="0"/>
      <w:marRight w:val="0"/>
      <w:marTop w:val="0"/>
      <w:marBottom w:val="0"/>
      <w:divBdr>
        <w:top w:val="none" w:sz="0" w:space="0" w:color="auto"/>
        <w:left w:val="none" w:sz="0" w:space="0" w:color="auto"/>
        <w:bottom w:val="none" w:sz="0" w:space="0" w:color="auto"/>
        <w:right w:val="none" w:sz="0" w:space="0" w:color="auto"/>
      </w:divBdr>
    </w:div>
    <w:div w:id="1214191880">
      <w:bodyDiv w:val="1"/>
      <w:marLeft w:val="0"/>
      <w:marRight w:val="0"/>
      <w:marTop w:val="0"/>
      <w:marBottom w:val="0"/>
      <w:divBdr>
        <w:top w:val="none" w:sz="0" w:space="0" w:color="auto"/>
        <w:left w:val="none" w:sz="0" w:space="0" w:color="auto"/>
        <w:bottom w:val="none" w:sz="0" w:space="0" w:color="auto"/>
        <w:right w:val="none" w:sz="0" w:space="0" w:color="auto"/>
      </w:divBdr>
    </w:div>
    <w:div w:id="1224294664">
      <w:bodyDiv w:val="1"/>
      <w:marLeft w:val="0"/>
      <w:marRight w:val="0"/>
      <w:marTop w:val="0"/>
      <w:marBottom w:val="0"/>
      <w:divBdr>
        <w:top w:val="none" w:sz="0" w:space="0" w:color="auto"/>
        <w:left w:val="none" w:sz="0" w:space="0" w:color="auto"/>
        <w:bottom w:val="none" w:sz="0" w:space="0" w:color="auto"/>
        <w:right w:val="none" w:sz="0" w:space="0" w:color="auto"/>
      </w:divBdr>
    </w:div>
    <w:div w:id="1229850124">
      <w:bodyDiv w:val="1"/>
      <w:marLeft w:val="0"/>
      <w:marRight w:val="0"/>
      <w:marTop w:val="0"/>
      <w:marBottom w:val="0"/>
      <w:divBdr>
        <w:top w:val="none" w:sz="0" w:space="0" w:color="auto"/>
        <w:left w:val="none" w:sz="0" w:space="0" w:color="auto"/>
        <w:bottom w:val="none" w:sz="0" w:space="0" w:color="auto"/>
        <w:right w:val="none" w:sz="0" w:space="0" w:color="auto"/>
      </w:divBdr>
    </w:div>
    <w:div w:id="1240865174">
      <w:bodyDiv w:val="1"/>
      <w:marLeft w:val="0"/>
      <w:marRight w:val="0"/>
      <w:marTop w:val="0"/>
      <w:marBottom w:val="0"/>
      <w:divBdr>
        <w:top w:val="none" w:sz="0" w:space="0" w:color="auto"/>
        <w:left w:val="none" w:sz="0" w:space="0" w:color="auto"/>
        <w:bottom w:val="none" w:sz="0" w:space="0" w:color="auto"/>
        <w:right w:val="none" w:sz="0" w:space="0" w:color="auto"/>
      </w:divBdr>
    </w:div>
    <w:div w:id="1244484296">
      <w:bodyDiv w:val="1"/>
      <w:marLeft w:val="0"/>
      <w:marRight w:val="0"/>
      <w:marTop w:val="0"/>
      <w:marBottom w:val="0"/>
      <w:divBdr>
        <w:top w:val="none" w:sz="0" w:space="0" w:color="auto"/>
        <w:left w:val="none" w:sz="0" w:space="0" w:color="auto"/>
        <w:bottom w:val="none" w:sz="0" w:space="0" w:color="auto"/>
        <w:right w:val="none" w:sz="0" w:space="0" w:color="auto"/>
      </w:divBdr>
    </w:div>
    <w:div w:id="1251350845">
      <w:bodyDiv w:val="1"/>
      <w:marLeft w:val="0"/>
      <w:marRight w:val="0"/>
      <w:marTop w:val="0"/>
      <w:marBottom w:val="0"/>
      <w:divBdr>
        <w:top w:val="none" w:sz="0" w:space="0" w:color="auto"/>
        <w:left w:val="none" w:sz="0" w:space="0" w:color="auto"/>
        <w:bottom w:val="none" w:sz="0" w:space="0" w:color="auto"/>
        <w:right w:val="none" w:sz="0" w:space="0" w:color="auto"/>
      </w:divBdr>
    </w:div>
    <w:div w:id="1254977033">
      <w:bodyDiv w:val="1"/>
      <w:marLeft w:val="0"/>
      <w:marRight w:val="0"/>
      <w:marTop w:val="0"/>
      <w:marBottom w:val="0"/>
      <w:divBdr>
        <w:top w:val="none" w:sz="0" w:space="0" w:color="auto"/>
        <w:left w:val="none" w:sz="0" w:space="0" w:color="auto"/>
        <w:bottom w:val="none" w:sz="0" w:space="0" w:color="auto"/>
        <w:right w:val="none" w:sz="0" w:space="0" w:color="auto"/>
      </w:divBdr>
    </w:div>
    <w:div w:id="1274091810">
      <w:bodyDiv w:val="1"/>
      <w:marLeft w:val="0"/>
      <w:marRight w:val="0"/>
      <w:marTop w:val="0"/>
      <w:marBottom w:val="0"/>
      <w:divBdr>
        <w:top w:val="none" w:sz="0" w:space="0" w:color="auto"/>
        <w:left w:val="none" w:sz="0" w:space="0" w:color="auto"/>
        <w:bottom w:val="none" w:sz="0" w:space="0" w:color="auto"/>
        <w:right w:val="none" w:sz="0" w:space="0" w:color="auto"/>
      </w:divBdr>
    </w:div>
    <w:div w:id="1286159712">
      <w:bodyDiv w:val="1"/>
      <w:marLeft w:val="0"/>
      <w:marRight w:val="0"/>
      <w:marTop w:val="0"/>
      <w:marBottom w:val="0"/>
      <w:divBdr>
        <w:top w:val="none" w:sz="0" w:space="0" w:color="auto"/>
        <w:left w:val="none" w:sz="0" w:space="0" w:color="auto"/>
        <w:bottom w:val="none" w:sz="0" w:space="0" w:color="auto"/>
        <w:right w:val="none" w:sz="0" w:space="0" w:color="auto"/>
      </w:divBdr>
    </w:div>
    <w:div w:id="1290016571">
      <w:bodyDiv w:val="1"/>
      <w:marLeft w:val="0"/>
      <w:marRight w:val="0"/>
      <w:marTop w:val="0"/>
      <w:marBottom w:val="0"/>
      <w:divBdr>
        <w:top w:val="none" w:sz="0" w:space="0" w:color="auto"/>
        <w:left w:val="none" w:sz="0" w:space="0" w:color="auto"/>
        <w:bottom w:val="none" w:sz="0" w:space="0" w:color="auto"/>
        <w:right w:val="none" w:sz="0" w:space="0" w:color="auto"/>
      </w:divBdr>
    </w:div>
    <w:div w:id="1323243759">
      <w:bodyDiv w:val="1"/>
      <w:marLeft w:val="0"/>
      <w:marRight w:val="0"/>
      <w:marTop w:val="0"/>
      <w:marBottom w:val="0"/>
      <w:divBdr>
        <w:top w:val="none" w:sz="0" w:space="0" w:color="auto"/>
        <w:left w:val="none" w:sz="0" w:space="0" w:color="auto"/>
        <w:bottom w:val="none" w:sz="0" w:space="0" w:color="auto"/>
        <w:right w:val="none" w:sz="0" w:space="0" w:color="auto"/>
      </w:divBdr>
    </w:div>
    <w:div w:id="1339428626">
      <w:marLeft w:val="0"/>
      <w:marRight w:val="0"/>
      <w:marTop w:val="0"/>
      <w:marBottom w:val="0"/>
      <w:divBdr>
        <w:top w:val="none" w:sz="0" w:space="0" w:color="auto"/>
        <w:left w:val="none" w:sz="0" w:space="0" w:color="auto"/>
        <w:bottom w:val="none" w:sz="0" w:space="0" w:color="auto"/>
        <w:right w:val="none" w:sz="0" w:space="0" w:color="auto"/>
      </w:divBdr>
    </w:div>
    <w:div w:id="1345093319">
      <w:bodyDiv w:val="1"/>
      <w:marLeft w:val="0"/>
      <w:marRight w:val="0"/>
      <w:marTop w:val="0"/>
      <w:marBottom w:val="0"/>
      <w:divBdr>
        <w:top w:val="none" w:sz="0" w:space="0" w:color="auto"/>
        <w:left w:val="none" w:sz="0" w:space="0" w:color="auto"/>
        <w:bottom w:val="none" w:sz="0" w:space="0" w:color="auto"/>
        <w:right w:val="none" w:sz="0" w:space="0" w:color="auto"/>
      </w:divBdr>
    </w:div>
    <w:div w:id="1349140532">
      <w:bodyDiv w:val="1"/>
      <w:marLeft w:val="0"/>
      <w:marRight w:val="0"/>
      <w:marTop w:val="0"/>
      <w:marBottom w:val="0"/>
      <w:divBdr>
        <w:top w:val="none" w:sz="0" w:space="0" w:color="auto"/>
        <w:left w:val="none" w:sz="0" w:space="0" w:color="auto"/>
        <w:bottom w:val="none" w:sz="0" w:space="0" w:color="auto"/>
        <w:right w:val="none" w:sz="0" w:space="0" w:color="auto"/>
      </w:divBdr>
    </w:div>
    <w:div w:id="1367755489">
      <w:bodyDiv w:val="1"/>
      <w:marLeft w:val="0"/>
      <w:marRight w:val="0"/>
      <w:marTop w:val="0"/>
      <w:marBottom w:val="0"/>
      <w:divBdr>
        <w:top w:val="none" w:sz="0" w:space="0" w:color="auto"/>
        <w:left w:val="none" w:sz="0" w:space="0" w:color="auto"/>
        <w:bottom w:val="none" w:sz="0" w:space="0" w:color="auto"/>
        <w:right w:val="none" w:sz="0" w:space="0" w:color="auto"/>
      </w:divBdr>
    </w:div>
    <w:div w:id="1369335908">
      <w:bodyDiv w:val="1"/>
      <w:marLeft w:val="0"/>
      <w:marRight w:val="0"/>
      <w:marTop w:val="0"/>
      <w:marBottom w:val="0"/>
      <w:divBdr>
        <w:top w:val="none" w:sz="0" w:space="0" w:color="auto"/>
        <w:left w:val="none" w:sz="0" w:space="0" w:color="auto"/>
        <w:bottom w:val="none" w:sz="0" w:space="0" w:color="auto"/>
        <w:right w:val="none" w:sz="0" w:space="0" w:color="auto"/>
      </w:divBdr>
    </w:div>
    <w:div w:id="1369725440">
      <w:bodyDiv w:val="1"/>
      <w:marLeft w:val="0"/>
      <w:marRight w:val="0"/>
      <w:marTop w:val="0"/>
      <w:marBottom w:val="0"/>
      <w:divBdr>
        <w:top w:val="none" w:sz="0" w:space="0" w:color="auto"/>
        <w:left w:val="none" w:sz="0" w:space="0" w:color="auto"/>
        <w:bottom w:val="none" w:sz="0" w:space="0" w:color="auto"/>
        <w:right w:val="none" w:sz="0" w:space="0" w:color="auto"/>
      </w:divBdr>
    </w:div>
    <w:div w:id="1425763275">
      <w:bodyDiv w:val="1"/>
      <w:marLeft w:val="0"/>
      <w:marRight w:val="0"/>
      <w:marTop w:val="0"/>
      <w:marBottom w:val="0"/>
      <w:divBdr>
        <w:top w:val="none" w:sz="0" w:space="0" w:color="auto"/>
        <w:left w:val="none" w:sz="0" w:space="0" w:color="auto"/>
        <w:bottom w:val="none" w:sz="0" w:space="0" w:color="auto"/>
        <w:right w:val="none" w:sz="0" w:space="0" w:color="auto"/>
      </w:divBdr>
    </w:div>
    <w:div w:id="1429349999">
      <w:bodyDiv w:val="1"/>
      <w:marLeft w:val="0"/>
      <w:marRight w:val="0"/>
      <w:marTop w:val="0"/>
      <w:marBottom w:val="0"/>
      <w:divBdr>
        <w:top w:val="none" w:sz="0" w:space="0" w:color="auto"/>
        <w:left w:val="none" w:sz="0" w:space="0" w:color="auto"/>
        <w:bottom w:val="none" w:sz="0" w:space="0" w:color="auto"/>
        <w:right w:val="none" w:sz="0" w:space="0" w:color="auto"/>
      </w:divBdr>
    </w:div>
    <w:div w:id="1435056774">
      <w:bodyDiv w:val="1"/>
      <w:marLeft w:val="0"/>
      <w:marRight w:val="0"/>
      <w:marTop w:val="0"/>
      <w:marBottom w:val="0"/>
      <w:divBdr>
        <w:top w:val="none" w:sz="0" w:space="0" w:color="auto"/>
        <w:left w:val="none" w:sz="0" w:space="0" w:color="auto"/>
        <w:bottom w:val="none" w:sz="0" w:space="0" w:color="auto"/>
        <w:right w:val="none" w:sz="0" w:space="0" w:color="auto"/>
      </w:divBdr>
    </w:div>
    <w:div w:id="1441072851">
      <w:bodyDiv w:val="1"/>
      <w:marLeft w:val="0"/>
      <w:marRight w:val="0"/>
      <w:marTop w:val="0"/>
      <w:marBottom w:val="0"/>
      <w:divBdr>
        <w:top w:val="none" w:sz="0" w:space="0" w:color="auto"/>
        <w:left w:val="none" w:sz="0" w:space="0" w:color="auto"/>
        <w:bottom w:val="none" w:sz="0" w:space="0" w:color="auto"/>
        <w:right w:val="none" w:sz="0" w:space="0" w:color="auto"/>
      </w:divBdr>
    </w:div>
    <w:div w:id="1447001811">
      <w:bodyDiv w:val="1"/>
      <w:marLeft w:val="0"/>
      <w:marRight w:val="0"/>
      <w:marTop w:val="0"/>
      <w:marBottom w:val="0"/>
      <w:divBdr>
        <w:top w:val="none" w:sz="0" w:space="0" w:color="auto"/>
        <w:left w:val="none" w:sz="0" w:space="0" w:color="auto"/>
        <w:bottom w:val="none" w:sz="0" w:space="0" w:color="auto"/>
        <w:right w:val="none" w:sz="0" w:space="0" w:color="auto"/>
      </w:divBdr>
    </w:div>
    <w:div w:id="1447384268">
      <w:bodyDiv w:val="1"/>
      <w:marLeft w:val="0"/>
      <w:marRight w:val="0"/>
      <w:marTop w:val="0"/>
      <w:marBottom w:val="0"/>
      <w:divBdr>
        <w:top w:val="none" w:sz="0" w:space="0" w:color="auto"/>
        <w:left w:val="none" w:sz="0" w:space="0" w:color="auto"/>
        <w:bottom w:val="none" w:sz="0" w:space="0" w:color="auto"/>
        <w:right w:val="none" w:sz="0" w:space="0" w:color="auto"/>
      </w:divBdr>
    </w:div>
    <w:div w:id="1466193388">
      <w:bodyDiv w:val="1"/>
      <w:marLeft w:val="0"/>
      <w:marRight w:val="0"/>
      <w:marTop w:val="0"/>
      <w:marBottom w:val="0"/>
      <w:divBdr>
        <w:top w:val="none" w:sz="0" w:space="0" w:color="auto"/>
        <w:left w:val="none" w:sz="0" w:space="0" w:color="auto"/>
        <w:bottom w:val="none" w:sz="0" w:space="0" w:color="auto"/>
        <w:right w:val="none" w:sz="0" w:space="0" w:color="auto"/>
      </w:divBdr>
    </w:div>
    <w:div w:id="1468668317">
      <w:bodyDiv w:val="1"/>
      <w:marLeft w:val="0"/>
      <w:marRight w:val="0"/>
      <w:marTop w:val="0"/>
      <w:marBottom w:val="0"/>
      <w:divBdr>
        <w:top w:val="none" w:sz="0" w:space="0" w:color="auto"/>
        <w:left w:val="none" w:sz="0" w:space="0" w:color="auto"/>
        <w:bottom w:val="none" w:sz="0" w:space="0" w:color="auto"/>
        <w:right w:val="none" w:sz="0" w:space="0" w:color="auto"/>
      </w:divBdr>
    </w:div>
    <w:div w:id="1478523624">
      <w:bodyDiv w:val="1"/>
      <w:marLeft w:val="0"/>
      <w:marRight w:val="0"/>
      <w:marTop w:val="0"/>
      <w:marBottom w:val="0"/>
      <w:divBdr>
        <w:top w:val="none" w:sz="0" w:space="0" w:color="auto"/>
        <w:left w:val="none" w:sz="0" w:space="0" w:color="auto"/>
        <w:bottom w:val="none" w:sz="0" w:space="0" w:color="auto"/>
        <w:right w:val="none" w:sz="0" w:space="0" w:color="auto"/>
      </w:divBdr>
    </w:div>
    <w:div w:id="1482188198">
      <w:bodyDiv w:val="1"/>
      <w:marLeft w:val="0"/>
      <w:marRight w:val="0"/>
      <w:marTop w:val="0"/>
      <w:marBottom w:val="0"/>
      <w:divBdr>
        <w:top w:val="none" w:sz="0" w:space="0" w:color="auto"/>
        <w:left w:val="none" w:sz="0" w:space="0" w:color="auto"/>
        <w:bottom w:val="none" w:sz="0" w:space="0" w:color="auto"/>
        <w:right w:val="none" w:sz="0" w:space="0" w:color="auto"/>
      </w:divBdr>
    </w:div>
    <w:div w:id="1508327687">
      <w:bodyDiv w:val="1"/>
      <w:marLeft w:val="0"/>
      <w:marRight w:val="0"/>
      <w:marTop w:val="0"/>
      <w:marBottom w:val="0"/>
      <w:divBdr>
        <w:top w:val="none" w:sz="0" w:space="0" w:color="auto"/>
        <w:left w:val="none" w:sz="0" w:space="0" w:color="auto"/>
        <w:bottom w:val="none" w:sz="0" w:space="0" w:color="auto"/>
        <w:right w:val="none" w:sz="0" w:space="0" w:color="auto"/>
      </w:divBdr>
    </w:div>
    <w:div w:id="1509755213">
      <w:bodyDiv w:val="1"/>
      <w:marLeft w:val="0"/>
      <w:marRight w:val="0"/>
      <w:marTop w:val="0"/>
      <w:marBottom w:val="0"/>
      <w:divBdr>
        <w:top w:val="none" w:sz="0" w:space="0" w:color="auto"/>
        <w:left w:val="none" w:sz="0" w:space="0" w:color="auto"/>
        <w:bottom w:val="none" w:sz="0" w:space="0" w:color="auto"/>
        <w:right w:val="none" w:sz="0" w:space="0" w:color="auto"/>
      </w:divBdr>
    </w:div>
    <w:div w:id="1519540722">
      <w:bodyDiv w:val="1"/>
      <w:marLeft w:val="0"/>
      <w:marRight w:val="0"/>
      <w:marTop w:val="0"/>
      <w:marBottom w:val="0"/>
      <w:divBdr>
        <w:top w:val="none" w:sz="0" w:space="0" w:color="auto"/>
        <w:left w:val="none" w:sz="0" w:space="0" w:color="auto"/>
        <w:bottom w:val="none" w:sz="0" w:space="0" w:color="auto"/>
        <w:right w:val="none" w:sz="0" w:space="0" w:color="auto"/>
      </w:divBdr>
    </w:div>
    <w:div w:id="1533882727">
      <w:bodyDiv w:val="1"/>
      <w:marLeft w:val="0"/>
      <w:marRight w:val="0"/>
      <w:marTop w:val="0"/>
      <w:marBottom w:val="0"/>
      <w:divBdr>
        <w:top w:val="none" w:sz="0" w:space="0" w:color="auto"/>
        <w:left w:val="none" w:sz="0" w:space="0" w:color="auto"/>
        <w:bottom w:val="none" w:sz="0" w:space="0" w:color="auto"/>
        <w:right w:val="none" w:sz="0" w:space="0" w:color="auto"/>
      </w:divBdr>
    </w:div>
    <w:div w:id="1538352776">
      <w:bodyDiv w:val="1"/>
      <w:marLeft w:val="0"/>
      <w:marRight w:val="0"/>
      <w:marTop w:val="0"/>
      <w:marBottom w:val="0"/>
      <w:divBdr>
        <w:top w:val="none" w:sz="0" w:space="0" w:color="auto"/>
        <w:left w:val="none" w:sz="0" w:space="0" w:color="auto"/>
        <w:bottom w:val="none" w:sz="0" w:space="0" w:color="auto"/>
        <w:right w:val="none" w:sz="0" w:space="0" w:color="auto"/>
      </w:divBdr>
    </w:div>
    <w:div w:id="1541824777">
      <w:bodyDiv w:val="1"/>
      <w:marLeft w:val="0"/>
      <w:marRight w:val="0"/>
      <w:marTop w:val="0"/>
      <w:marBottom w:val="0"/>
      <w:divBdr>
        <w:top w:val="none" w:sz="0" w:space="0" w:color="auto"/>
        <w:left w:val="none" w:sz="0" w:space="0" w:color="auto"/>
        <w:bottom w:val="none" w:sz="0" w:space="0" w:color="auto"/>
        <w:right w:val="none" w:sz="0" w:space="0" w:color="auto"/>
      </w:divBdr>
    </w:div>
    <w:div w:id="1543134463">
      <w:bodyDiv w:val="1"/>
      <w:marLeft w:val="0"/>
      <w:marRight w:val="0"/>
      <w:marTop w:val="0"/>
      <w:marBottom w:val="0"/>
      <w:divBdr>
        <w:top w:val="none" w:sz="0" w:space="0" w:color="auto"/>
        <w:left w:val="none" w:sz="0" w:space="0" w:color="auto"/>
        <w:bottom w:val="none" w:sz="0" w:space="0" w:color="auto"/>
        <w:right w:val="none" w:sz="0" w:space="0" w:color="auto"/>
      </w:divBdr>
    </w:div>
    <w:div w:id="1555390732">
      <w:bodyDiv w:val="1"/>
      <w:marLeft w:val="0"/>
      <w:marRight w:val="0"/>
      <w:marTop w:val="0"/>
      <w:marBottom w:val="0"/>
      <w:divBdr>
        <w:top w:val="none" w:sz="0" w:space="0" w:color="auto"/>
        <w:left w:val="none" w:sz="0" w:space="0" w:color="auto"/>
        <w:bottom w:val="none" w:sz="0" w:space="0" w:color="auto"/>
        <w:right w:val="none" w:sz="0" w:space="0" w:color="auto"/>
      </w:divBdr>
    </w:div>
    <w:div w:id="1557156694">
      <w:bodyDiv w:val="1"/>
      <w:marLeft w:val="0"/>
      <w:marRight w:val="0"/>
      <w:marTop w:val="0"/>
      <w:marBottom w:val="0"/>
      <w:divBdr>
        <w:top w:val="none" w:sz="0" w:space="0" w:color="auto"/>
        <w:left w:val="none" w:sz="0" w:space="0" w:color="auto"/>
        <w:bottom w:val="none" w:sz="0" w:space="0" w:color="auto"/>
        <w:right w:val="none" w:sz="0" w:space="0" w:color="auto"/>
      </w:divBdr>
    </w:div>
    <w:div w:id="1573782410">
      <w:bodyDiv w:val="1"/>
      <w:marLeft w:val="0"/>
      <w:marRight w:val="0"/>
      <w:marTop w:val="0"/>
      <w:marBottom w:val="0"/>
      <w:divBdr>
        <w:top w:val="none" w:sz="0" w:space="0" w:color="auto"/>
        <w:left w:val="none" w:sz="0" w:space="0" w:color="auto"/>
        <w:bottom w:val="none" w:sz="0" w:space="0" w:color="auto"/>
        <w:right w:val="none" w:sz="0" w:space="0" w:color="auto"/>
      </w:divBdr>
    </w:div>
    <w:div w:id="1598632342">
      <w:bodyDiv w:val="1"/>
      <w:marLeft w:val="0"/>
      <w:marRight w:val="0"/>
      <w:marTop w:val="0"/>
      <w:marBottom w:val="0"/>
      <w:divBdr>
        <w:top w:val="none" w:sz="0" w:space="0" w:color="auto"/>
        <w:left w:val="none" w:sz="0" w:space="0" w:color="auto"/>
        <w:bottom w:val="none" w:sz="0" w:space="0" w:color="auto"/>
        <w:right w:val="none" w:sz="0" w:space="0" w:color="auto"/>
      </w:divBdr>
    </w:div>
    <w:div w:id="1605729170">
      <w:bodyDiv w:val="1"/>
      <w:marLeft w:val="0"/>
      <w:marRight w:val="0"/>
      <w:marTop w:val="0"/>
      <w:marBottom w:val="0"/>
      <w:divBdr>
        <w:top w:val="none" w:sz="0" w:space="0" w:color="auto"/>
        <w:left w:val="none" w:sz="0" w:space="0" w:color="auto"/>
        <w:bottom w:val="none" w:sz="0" w:space="0" w:color="auto"/>
        <w:right w:val="none" w:sz="0" w:space="0" w:color="auto"/>
      </w:divBdr>
    </w:div>
    <w:div w:id="1625892810">
      <w:bodyDiv w:val="1"/>
      <w:marLeft w:val="0"/>
      <w:marRight w:val="0"/>
      <w:marTop w:val="0"/>
      <w:marBottom w:val="0"/>
      <w:divBdr>
        <w:top w:val="none" w:sz="0" w:space="0" w:color="auto"/>
        <w:left w:val="none" w:sz="0" w:space="0" w:color="auto"/>
        <w:bottom w:val="none" w:sz="0" w:space="0" w:color="auto"/>
        <w:right w:val="none" w:sz="0" w:space="0" w:color="auto"/>
      </w:divBdr>
    </w:div>
    <w:div w:id="1628659497">
      <w:bodyDiv w:val="1"/>
      <w:marLeft w:val="0"/>
      <w:marRight w:val="0"/>
      <w:marTop w:val="0"/>
      <w:marBottom w:val="0"/>
      <w:divBdr>
        <w:top w:val="none" w:sz="0" w:space="0" w:color="auto"/>
        <w:left w:val="none" w:sz="0" w:space="0" w:color="auto"/>
        <w:bottom w:val="none" w:sz="0" w:space="0" w:color="auto"/>
        <w:right w:val="none" w:sz="0" w:space="0" w:color="auto"/>
      </w:divBdr>
    </w:div>
    <w:div w:id="1635217054">
      <w:bodyDiv w:val="1"/>
      <w:marLeft w:val="0"/>
      <w:marRight w:val="0"/>
      <w:marTop w:val="0"/>
      <w:marBottom w:val="0"/>
      <w:divBdr>
        <w:top w:val="none" w:sz="0" w:space="0" w:color="auto"/>
        <w:left w:val="none" w:sz="0" w:space="0" w:color="auto"/>
        <w:bottom w:val="none" w:sz="0" w:space="0" w:color="auto"/>
        <w:right w:val="none" w:sz="0" w:space="0" w:color="auto"/>
      </w:divBdr>
    </w:div>
    <w:div w:id="1649935093">
      <w:bodyDiv w:val="1"/>
      <w:marLeft w:val="0"/>
      <w:marRight w:val="0"/>
      <w:marTop w:val="0"/>
      <w:marBottom w:val="0"/>
      <w:divBdr>
        <w:top w:val="none" w:sz="0" w:space="0" w:color="auto"/>
        <w:left w:val="none" w:sz="0" w:space="0" w:color="auto"/>
        <w:bottom w:val="none" w:sz="0" w:space="0" w:color="auto"/>
        <w:right w:val="none" w:sz="0" w:space="0" w:color="auto"/>
      </w:divBdr>
    </w:div>
    <w:div w:id="1650130987">
      <w:bodyDiv w:val="1"/>
      <w:marLeft w:val="0"/>
      <w:marRight w:val="0"/>
      <w:marTop w:val="0"/>
      <w:marBottom w:val="0"/>
      <w:divBdr>
        <w:top w:val="none" w:sz="0" w:space="0" w:color="auto"/>
        <w:left w:val="none" w:sz="0" w:space="0" w:color="auto"/>
        <w:bottom w:val="none" w:sz="0" w:space="0" w:color="auto"/>
        <w:right w:val="none" w:sz="0" w:space="0" w:color="auto"/>
      </w:divBdr>
    </w:div>
    <w:div w:id="1652517373">
      <w:bodyDiv w:val="1"/>
      <w:marLeft w:val="0"/>
      <w:marRight w:val="0"/>
      <w:marTop w:val="0"/>
      <w:marBottom w:val="0"/>
      <w:divBdr>
        <w:top w:val="none" w:sz="0" w:space="0" w:color="auto"/>
        <w:left w:val="none" w:sz="0" w:space="0" w:color="auto"/>
        <w:bottom w:val="none" w:sz="0" w:space="0" w:color="auto"/>
        <w:right w:val="none" w:sz="0" w:space="0" w:color="auto"/>
      </w:divBdr>
    </w:div>
    <w:div w:id="1652905134">
      <w:bodyDiv w:val="1"/>
      <w:marLeft w:val="0"/>
      <w:marRight w:val="0"/>
      <w:marTop w:val="0"/>
      <w:marBottom w:val="0"/>
      <w:divBdr>
        <w:top w:val="none" w:sz="0" w:space="0" w:color="auto"/>
        <w:left w:val="none" w:sz="0" w:space="0" w:color="auto"/>
        <w:bottom w:val="none" w:sz="0" w:space="0" w:color="auto"/>
        <w:right w:val="none" w:sz="0" w:space="0" w:color="auto"/>
      </w:divBdr>
    </w:div>
    <w:div w:id="1676297525">
      <w:bodyDiv w:val="1"/>
      <w:marLeft w:val="0"/>
      <w:marRight w:val="0"/>
      <w:marTop w:val="0"/>
      <w:marBottom w:val="0"/>
      <w:divBdr>
        <w:top w:val="none" w:sz="0" w:space="0" w:color="auto"/>
        <w:left w:val="none" w:sz="0" w:space="0" w:color="auto"/>
        <w:bottom w:val="none" w:sz="0" w:space="0" w:color="auto"/>
        <w:right w:val="none" w:sz="0" w:space="0" w:color="auto"/>
      </w:divBdr>
    </w:div>
    <w:div w:id="1696349594">
      <w:bodyDiv w:val="1"/>
      <w:marLeft w:val="0"/>
      <w:marRight w:val="0"/>
      <w:marTop w:val="0"/>
      <w:marBottom w:val="0"/>
      <w:divBdr>
        <w:top w:val="none" w:sz="0" w:space="0" w:color="auto"/>
        <w:left w:val="none" w:sz="0" w:space="0" w:color="auto"/>
        <w:bottom w:val="none" w:sz="0" w:space="0" w:color="auto"/>
        <w:right w:val="none" w:sz="0" w:space="0" w:color="auto"/>
      </w:divBdr>
    </w:div>
    <w:div w:id="1704675945">
      <w:bodyDiv w:val="1"/>
      <w:marLeft w:val="0"/>
      <w:marRight w:val="0"/>
      <w:marTop w:val="0"/>
      <w:marBottom w:val="0"/>
      <w:divBdr>
        <w:top w:val="none" w:sz="0" w:space="0" w:color="auto"/>
        <w:left w:val="none" w:sz="0" w:space="0" w:color="auto"/>
        <w:bottom w:val="none" w:sz="0" w:space="0" w:color="auto"/>
        <w:right w:val="none" w:sz="0" w:space="0" w:color="auto"/>
      </w:divBdr>
    </w:div>
    <w:div w:id="1708067719">
      <w:bodyDiv w:val="1"/>
      <w:marLeft w:val="0"/>
      <w:marRight w:val="0"/>
      <w:marTop w:val="0"/>
      <w:marBottom w:val="0"/>
      <w:divBdr>
        <w:top w:val="none" w:sz="0" w:space="0" w:color="auto"/>
        <w:left w:val="none" w:sz="0" w:space="0" w:color="auto"/>
        <w:bottom w:val="none" w:sz="0" w:space="0" w:color="auto"/>
        <w:right w:val="none" w:sz="0" w:space="0" w:color="auto"/>
      </w:divBdr>
    </w:div>
    <w:div w:id="1715765242">
      <w:bodyDiv w:val="1"/>
      <w:marLeft w:val="0"/>
      <w:marRight w:val="0"/>
      <w:marTop w:val="0"/>
      <w:marBottom w:val="0"/>
      <w:divBdr>
        <w:top w:val="none" w:sz="0" w:space="0" w:color="auto"/>
        <w:left w:val="none" w:sz="0" w:space="0" w:color="auto"/>
        <w:bottom w:val="none" w:sz="0" w:space="0" w:color="auto"/>
        <w:right w:val="none" w:sz="0" w:space="0" w:color="auto"/>
      </w:divBdr>
    </w:div>
    <w:div w:id="1717923704">
      <w:bodyDiv w:val="1"/>
      <w:marLeft w:val="0"/>
      <w:marRight w:val="0"/>
      <w:marTop w:val="0"/>
      <w:marBottom w:val="0"/>
      <w:divBdr>
        <w:top w:val="none" w:sz="0" w:space="0" w:color="auto"/>
        <w:left w:val="none" w:sz="0" w:space="0" w:color="auto"/>
        <w:bottom w:val="none" w:sz="0" w:space="0" w:color="auto"/>
        <w:right w:val="none" w:sz="0" w:space="0" w:color="auto"/>
      </w:divBdr>
    </w:div>
    <w:div w:id="1725517044">
      <w:bodyDiv w:val="1"/>
      <w:marLeft w:val="0"/>
      <w:marRight w:val="0"/>
      <w:marTop w:val="0"/>
      <w:marBottom w:val="0"/>
      <w:divBdr>
        <w:top w:val="none" w:sz="0" w:space="0" w:color="auto"/>
        <w:left w:val="none" w:sz="0" w:space="0" w:color="auto"/>
        <w:bottom w:val="none" w:sz="0" w:space="0" w:color="auto"/>
        <w:right w:val="none" w:sz="0" w:space="0" w:color="auto"/>
      </w:divBdr>
    </w:div>
    <w:div w:id="1736782659">
      <w:bodyDiv w:val="1"/>
      <w:marLeft w:val="0"/>
      <w:marRight w:val="0"/>
      <w:marTop w:val="0"/>
      <w:marBottom w:val="0"/>
      <w:divBdr>
        <w:top w:val="none" w:sz="0" w:space="0" w:color="auto"/>
        <w:left w:val="none" w:sz="0" w:space="0" w:color="auto"/>
        <w:bottom w:val="none" w:sz="0" w:space="0" w:color="auto"/>
        <w:right w:val="none" w:sz="0" w:space="0" w:color="auto"/>
      </w:divBdr>
    </w:div>
    <w:div w:id="1739862395">
      <w:bodyDiv w:val="1"/>
      <w:marLeft w:val="0"/>
      <w:marRight w:val="0"/>
      <w:marTop w:val="0"/>
      <w:marBottom w:val="0"/>
      <w:divBdr>
        <w:top w:val="none" w:sz="0" w:space="0" w:color="auto"/>
        <w:left w:val="none" w:sz="0" w:space="0" w:color="auto"/>
        <w:bottom w:val="none" w:sz="0" w:space="0" w:color="auto"/>
        <w:right w:val="none" w:sz="0" w:space="0" w:color="auto"/>
      </w:divBdr>
    </w:div>
    <w:div w:id="1740904542">
      <w:bodyDiv w:val="1"/>
      <w:marLeft w:val="0"/>
      <w:marRight w:val="0"/>
      <w:marTop w:val="0"/>
      <w:marBottom w:val="0"/>
      <w:divBdr>
        <w:top w:val="none" w:sz="0" w:space="0" w:color="auto"/>
        <w:left w:val="none" w:sz="0" w:space="0" w:color="auto"/>
        <w:bottom w:val="none" w:sz="0" w:space="0" w:color="auto"/>
        <w:right w:val="none" w:sz="0" w:space="0" w:color="auto"/>
      </w:divBdr>
    </w:div>
    <w:div w:id="1741633218">
      <w:bodyDiv w:val="1"/>
      <w:marLeft w:val="0"/>
      <w:marRight w:val="0"/>
      <w:marTop w:val="0"/>
      <w:marBottom w:val="0"/>
      <w:divBdr>
        <w:top w:val="none" w:sz="0" w:space="0" w:color="auto"/>
        <w:left w:val="none" w:sz="0" w:space="0" w:color="auto"/>
        <w:bottom w:val="none" w:sz="0" w:space="0" w:color="auto"/>
        <w:right w:val="none" w:sz="0" w:space="0" w:color="auto"/>
      </w:divBdr>
    </w:div>
    <w:div w:id="1744641440">
      <w:bodyDiv w:val="1"/>
      <w:marLeft w:val="0"/>
      <w:marRight w:val="0"/>
      <w:marTop w:val="0"/>
      <w:marBottom w:val="0"/>
      <w:divBdr>
        <w:top w:val="none" w:sz="0" w:space="0" w:color="auto"/>
        <w:left w:val="none" w:sz="0" w:space="0" w:color="auto"/>
        <w:bottom w:val="none" w:sz="0" w:space="0" w:color="auto"/>
        <w:right w:val="none" w:sz="0" w:space="0" w:color="auto"/>
      </w:divBdr>
    </w:div>
    <w:div w:id="1745255110">
      <w:bodyDiv w:val="1"/>
      <w:marLeft w:val="0"/>
      <w:marRight w:val="0"/>
      <w:marTop w:val="0"/>
      <w:marBottom w:val="0"/>
      <w:divBdr>
        <w:top w:val="none" w:sz="0" w:space="0" w:color="auto"/>
        <w:left w:val="none" w:sz="0" w:space="0" w:color="auto"/>
        <w:bottom w:val="none" w:sz="0" w:space="0" w:color="auto"/>
        <w:right w:val="none" w:sz="0" w:space="0" w:color="auto"/>
      </w:divBdr>
    </w:div>
    <w:div w:id="1757169754">
      <w:bodyDiv w:val="1"/>
      <w:marLeft w:val="0"/>
      <w:marRight w:val="0"/>
      <w:marTop w:val="0"/>
      <w:marBottom w:val="0"/>
      <w:divBdr>
        <w:top w:val="none" w:sz="0" w:space="0" w:color="auto"/>
        <w:left w:val="none" w:sz="0" w:space="0" w:color="auto"/>
        <w:bottom w:val="none" w:sz="0" w:space="0" w:color="auto"/>
        <w:right w:val="none" w:sz="0" w:space="0" w:color="auto"/>
      </w:divBdr>
    </w:div>
    <w:div w:id="1766804879">
      <w:bodyDiv w:val="1"/>
      <w:marLeft w:val="0"/>
      <w:marRight w:val="0"/>
      <w:marTop w:val="0"/>
      <w:marBottom w:val="0"/>
      <w:divBdr>
        <w:top w:val="none" w:sz="0" w:space="0" w:color="auto"/>
        <w:left w:val="none" w:sz="0" w:space="0" w:color="auto"/>
        <w:bottom w:val="none" w:sz="0" w:space="0" w:color="auto"/>
        <w:right w:val="none" w:sz="0" w:space="0" w:color="auto"/>
      </w:divBdr>
    </w:div>
    <w:div w:id="1774667781">
      <w:bodyDiv w:val="1"/>
      <w:marLeft w:val="0"/>
      <w:marRight w:val="0"/>
      <w:marTop w:val="0"/>
      <w:marBottom w:val="0"/>
      <w:divBdr>
        <w:top w:val="none" w:sz="0" w:space="0" w:color="auto"/>
        <w:left w:val="none" w:sz="0" w:space="0" w:color="auto"/>
        <w:bottom w:val="none" w:sz="0" w:space="0" w:color="auto"/>
        <w:right w:val="none" w:sz="0" w:space="0" w:color="auto"/>
      </w:divBdr>
    </w:div>
    <w:div w:id="1777479697">
      <w:bodyDiv w:val="1"/>
      <w:marLeft w:val="0"/>
      <w:marRight w:val="0"/>
      <w:marTop w:val="0"/>
      <w:marBottom w:val="0"/>
      <w:divBdr>
        <w:top w:val="none" w:sz="0" w:space="0" w:color="auto"/>
        <w:left w:val="none" w:sz="0" w:space="0" w:color="auto"/>
        <w:bottom w:val="none" w:sz="0" w:space="0" w:color="auto"/>
        <w:right w:val="none" w:sz="0" w:space="0" w:color="auto"/>
      </w:divBdr>
    </w:div>
    <w:div w:id="1781217953">
      <w:bodyDiv w:val="1"/>
      <w:marLeft w:val="0"/>
      <w:marRight w:val="0"/>
      <w:marTop w:val="0"/>
      <w:marBottom w:val="0"/>
      <w:divBdr>
        <w:top w:val="none" w:sz="0" w:space="0" w:color="auto"/>
        <w:left w:val="none" w:sz="0" w:space="0" w:color="auto"/>
        <w:bottom w:val="none" w:sz="0" w:space="0" w:color="auto"/>
        <w:right w:val="none" w:sz="0" w:space="0" w:color="auto"/>
      </w:divBdr>
    </w:div>
    <w:div w:id="1787499124">
      <w:bodyDiv w:val="1"/>
      <w:marLeft w:val="0"/>
      <w:marRight w:val="0"/>
      <w:marTop w:val="0"/>
      <w:marBottom w:val="0"/>
      <w:divBdr>
        <w:top w:val="none" w:sz="0" w:space="0" w:color="auto"/>
        <w:left w:val="none" w:sz="0" w:space="0" w:color="auto"/>
        <w:bottom w:val="none" w:sz="0" w:space="0" w:color="auto"/>
        <w:right w:val="none" w:sz="0" w:space="0" w:color="auto"/>
      </w:divBdr>
    </w:div>
    <w:div w:id="1795975829">
      <w:bodyDiv w:val="1"/>
      <w:marLeft w:val="0"/>
      <w:marRight w:val="0"/>
      <w:marTop w:val="0"/>
      <w:marBottom w:val="0"/>
      <w:divBdr>
        <w:top w:val="none" w:sz="0" w:space="0" w:color="auto"/>
        <w:left w:val="none" w:sz="0" w:space="0" w:color="auto"/>
        <w:bottom w:val="none" w:sz="0" w:space="0" w:color="auto"/>
        <w:right w:val="none" w:sz="0" w:space="0" w:color="auto"/>
      </w:divBdr>
    </w:div>
    <w:div w:id="1807428031">
      <w:bodyDiv w:val="1"/>
      <w:marLeft w:val="0"/>
      <w:marRight w:val="0"/>
      <w:marTop w:val="0"/>
      <w:marBottom w:val="0"/>
      <w:divBdr>
        <w:top w:val="none" w:sz="0" w:space="0" w:color="auto"/>
        <w:left w:val="none" w:sz="0" w:space="0" w:color="auto"/>
        <w:bottom w:val="none" w:sz="0" w:space="0" w:color="auto"/>
        <w:right w:val="none" w:sz="0" w:space="0" w:color="auto"/>
      </w:divBdr>
    </w:div>
    <w:div w:id="1813525561">
      <w:bodyDiv w:val="1"/>
      <w:marLeft w:val="0"/>
      <w:marRight w:val="0"/>
      <w:marTop w:val="0"/>
      <w:marBottom w:val="0"/>
      <w:divBdr>
        <w:top w:val="none" w:sz="0" w:space="0" w:color="auto"/>
        <w:left w:val="none" w:sz="0" w:space="0" w:color="auto"/>
        <w:bottom w:val="none" w:sz="0" w:space="0" w:color="auto"/>
        <w:right w:val="none" w:sz="0" w:space="0" w:color="auto"/>
      </w:divBdr>
    </w:div>
    <w:div w:id="1827939990">
      <w:bodyDiv w:val="1"/>
      <w:marLeft w:val="0"/>
      <w:marRight w:val="0"/>
      <w:marTop w:val="0"/>
      <w:marBottom w:val="0"/>
      <w:divBdr>
        <w:top w:val="none" w:sz="0" w:space="0" w:color="auto"/>
        <w:left w:val="none" w:sz="0" w:space="0" w:color="auto"/>
        <w:bottom w:val="none" w:sz="0" w:space="0" w:color="auto"/>
        <w:right w:val="none" w:sz="0" w:space="0" w:color="auto"/>
      </w:divBdr>
    </w:div>
    <w:div w:id="1848011305">
      <w:bodyDiv w:val="1"/>
      <w:marLeft w:val="0"/>
      <w:marRight w:val="0"/>
      <w:marTop w:val="0"/>
      <w:marBottom w:val="0"/>
      <w:divBdr>
        <w:top w:val="none" w:sz="0" w:space="0" w:color="auto"/>
        <w:left w:val="none" w:sz="0" w:space="0" w:color="auto"/>
        <w:bottom w:val="none" w:sz="0" w:space="0" w:color="auto"/>
        <w:right w:val="none" w:sz="0" w:space="0" w:color="auto"/>
      </w:divBdr>
    </w:div>
    <w:div w:id="1852379396">
      <w:bodyDiv w:val="1"/>
      <w:marLeft w:val="0"/>
      <w:marRight w:val="0"/>
      <w:marTop w:val="0"/>
      <w:marBottom w:val="0"/>
      <w:divBdr>
        <w:top w:val="none" w:sz="0" w:space="0" w:color="auto"/>
        <w:left w:val="none" w:sz="0" w:space="0" w:color="auto"/>
        <w:bottom w:val="none" w:sz="0" w:space="0" w:color="auto"/>
        <w:right w:val="none" w:sz="0" w:space="0" w:color="auto"/>
      </w:divBdr>
    </w:div>
    <w:div w:id="1854687285">
      <w:marLeft w:val="0"/>
      <w:marRight w:val="0"/>
      <w:marTop w:val="0"/>
      <w:marBottom w:val="0"/>
      <w:divBdr>
        <w:top w:val="none" w:sz="0" w:space="0" w:color="auto"/>
        <w:left w:val="none" w:sz="0" w:space="0" w:color="auto"/>
        <w:bottom w:val="none" w:sz="0" w:space="0" w:color="auto"/>
        <w:right w:val="none" w:sz="0" w:space="0" w:color="auto"/>
      </w:divBdr>
    </w:div>
    <w:div w:id="1856269209">
      <w:bodyDiv w:val="1"/>
      <w:marLeft w:val="0"/>
      <w:marRight w:val="0"/>
      <w:marTop w:val="0"/>
      <w:marBottom w:val="0"/>
      <w:divBdr>
        <w:top w:val="none" w:sz="0" w:space="0" w:color="auto"/>
        <w:left w:val="none" w:sz="0" w:space="0" w:color="auto"/>
        <w:bottom w:val="none" w:sz="0" w:space="0" w:color="auto"/>
        <w:right w:val="none" w:sz="0" w:space="0" w:color="auto"/>
      </w:divBdr>
    </w:div>
    <w:div w:id="1857648646">
      <w:bodyDiv w:val="1"/>
      <w:marLeft w:val="0"/>
      <w:marRight w:val="0"/>
      <w:marTop w:val="0"/>
      <w:marBottom w:val="0"/>
      <w:divBdr>
        <w:top w:val="none" w:sz="0" w:space="0" w:color="auto"/>
        <w:left w:val="none" w:sz="0" w:space="0" w:color="auto"/>
        <w:bottom w:val="none" w:sz="0" w:space="0" w:color="auto"/>
        <w:right w:val="none" w:sz="0" w:space="0" w:color="auto"/>
      </w:divBdr>
    </w:div>
    <w:div w:id="1899170436">
      <w:bodyDiv w:val="1"/>
      <w:marLeft w:val="0"/>
      <w:marRight w:val="0"/>
      <w:marTop w:val="0"/>
      <w:marBottom w:val="0"/>
      <w:divBdr>
        <w:top w:val="none" w:sz="0" w:space="0" w:color="auto"/>
        <w:left w:val="none" w:sz="0" w:space="0" w:color="auto"/>
        <w:bottom w:val="none" w:sz="0" w:space="0" w:color="auto"/>
        <w:right w:val="none" w:sz="0" w:space="0" w:color="auto"/>
      </w:divBdr>
    </w:div>
    <w:div w:id="1911308916">
      <w:bodyDiv w:val="1"/>
      <w:marLeft w:val="0"/>
      <w:marRight w:val="0"/>
      <w:marTop w:val="0"/>
      <w:marBottom w:val="0"/>
      <w:divBdr>
        <w:top w:val="none" w:sz="0" w:space="0" w:color="auto"/>
        <w:left w:val="none" w:sz="0" w:space="0" w:color="auto"/>
        <w:bottom w:val="none" w:sz="0" w:space="0" w:color="auto"/>
        <w:right w:val="none" w:sz="0" w:space="0" w:color="auto"/>
      </w:divBdr>
    </w:div>
    <w:div w:id="1922909192">
      <w:bodyDiv w:val="1"/>
      <w:marLeft w:val="0"/>
      <w:marRight w:val="0"/>
      <w:marTop w:val="0"/>
      <w:marBottom w:val="0"/>
      <w:divBdr>
        <w:top w:val="none" w:sz="0" w:space="0" w:color="auto"/>
        <w:left w:val="none" w:sz="0" w:space="0" w:color="auto"/>
        <w:bottom w:val="none" w:sz="0" w:space="0" w:color="auto"/>
        <w:right w:val="none" w:sz="0" w:space="0" w:color="auto"/>
      </w:divBdr>
    </w:div>
    <w:div w:id="1927957211">
      <w:bodyDiv w:val="1"/>
      <w:marLeft w:val="0"/>
      <w:marRight w:val="0"/>
      <w:marTop w:val="0"/>
      <w:marBottom w:val="0"/>
      <w:divBdr>
        <w:top w:val="none" w:sz="0" w:space="0" w:color="auto"/>
        <w:left w:val="none" w:sz="0" w:space="0" w:color="auto"/>
        <w:bottom w:val="none" w:sz="0" w:space="0" w:color="auto"/>
        <w:right w:val="none" w:sz="0" w:space="0" w:color="auto"/>
      </w:divBdr>
    </w:div>
    <w:div w:id="1956674784">
      <w:bodyDiv w:val="1"/>
      <w:marLeft w:val="0"/>
      <w:marRight w:val="0"/>
      <w:marTop w:val="0"/>
      <w:marBottom w:val="0"/>
      <w:divBdr>
        <w:top w:val="none" w:sz="0" w:space="0" w:color="auto"/>
        <w:left w:val="none" w:sz="0" w:space="0" w:color="auto"/>
        <w:bottom w:val="none" w:sz="0" w:space="0" w:color="auto"/>
        <w:right w:val="none" w:sz="0" w:space="0" w:color="auto"/>
      </w:divBdr>
    </w:div>
    <w:div w:id="1957716166">
      <w:bodyDiv w:val="1"/>
      <w:marLeft w:val="0"/>
      <w:marRight w:val="0"/>
      <w:marTop w:val="0"/>
      <w:marBottom w:val="0"/>
      <w:divBdr>
        <w:top w:val="none" w:sz="0" w:space="0" w:color="auto"/>
        <w:left w:val="none" w:sz="0" w:space="0" w:color="auto"/>
        <w:bottom w:val="none" w:sz="0" w:space="0" w:color="auto"/>
        <w:right w:val="none" w:sz="0" w:space="0" w:color="auto"/>
      </w:divBdr>
    </w:div>
    <w:div w:id="1961112121">
      <w:bodyDiv w:val="1"/>
      <w:marLeft w:val="0"/>
      <w:marRight w:val="0"/>
      <w:marTop w:val="0"/>
      <w:marBottom w:val="0"/>
      <w:divBdr>
        <w:top w:val="none" w:sz="0" w:space="0" w:color="auto"/>
        <w:left w:val="none" w:sz="0" w:space="0" w:color="auto"/>
        <w:bottom w:val="none" w:sz="0" w:space="0" w:color="auto"/>
        <w:right w:val="none" w:sz="0" w:space="0" w:color="auto"/>
      </w:divBdr>
    </w:div>
    <w:div w:id="1963419351">
      <w:bodyDiv w:val="1"/>
      <w:marLeft w:val="0"/>
      <w:marRight w:val="0"/>
      <w:marTop w:val="0"/>
      <w:marBottom w:val="0"/>
      <w:divBdr>
        <w:top w:val="none" w:sz="0" w:space="0" w:color="auto"/>
        <w:left w:val="none" w:sz="0" w:space="0" w:color="auto"/>
        <w:bottom w:val="none" w:sz="0" w:space="0" w:color="auto"/>
        <w:right w:val="none" w:sz="0" w:space="0" w:color="auto"/>
      </w:divBdr>
    </w:div>
    <w:div w:id="1969434376">
      <w:bodyDiv w:val="1"/>
      <w:marLeft w:val="0"/>
      <w:marRight w:val="0"/>
      <w:marTop w:val="0"/>
      <w:marBottom w:val="0"/>
      <w:divBdr>
        <w:top w:val="none" w:sz="0" w:space="0" w:color="auto"/>
        <w:left w:val="none" w:sz="0" w:space="0" w:color="auto"/>
        <w:bottom w:val="none" w:sz="0" w:space="0" w:color="auto"/>
        <w:right w:val="none" w:sz="0" w:space="0" w:color="auto"/>
      </w:divBdr>
    </w:div>
    <w:div w:id="1984038323">
      <w:bodyDiv w:val="1"/>
      <w:marLeft w:val="0"/>
      <w:marRight w:val="0"/>
      <w:marTop w:val="0"/>
      <w:marBottom w:val="0"/>
      <w:divBdr>
        <w:top w:val="none" w:sz="0" w:space="0" w:color="auto"/>
        <w:left w:val="none" w:sz="0" w:space="0" w:color="auto"/>
        <w:bottom w:val="none" w:sz="0" w:space="0" w:color="auto"/>
        <w:right w:val="none" w:sz="0" w:space="0" w:color="auto"/>
      </w:divBdr>
    </w:div>
    <w:div w:id="1984649876">
      <w:bodyDiv w:val="1"/>
      <w:marLeft w:val="0"/>
      <w:marRight w:val="0"/>
      <w:marTop w:val="0"/>
      <w:marBottom w:val="0"/>
      <w:divBdr>
        <w:top w:val="none" w:sz="0" w:space="0" w:color="auto"/>
        <w:left w:val="none" w:sz="0" w:space="0" w:color="auto"/>
        <w:bottom w:val="none" w:sz="0" w:space="0" w:color="auto"/>
        <w:right w:val="none" w:sz="0" w:space="0" w:color="auto"/>
      </w:divBdr>
    </w:div>
    <w:div w:id="2000645660">
      <w:bodyDiv w:val="1"/>
      <w:marLeft w:val="0"/>
      <w:marRight w:val="0"/>
      <w:marTop w:val="0"/>
      <w:marBottom w:val="0"/>
      <w:divBdr>
        <w:top w:val="none" w:sz="0" w:space="0" w:color="auto"/>
        <w:left w:val="none" w:sz="0" w:space="0" w:color="auto"/>
        <w:bottom w:val="none" w:sz="0" w:space="0" w:color="auto"/>
        <w:right w:val="none" w:sz="0" w:space="0" w:color="auto"/>
      </w:divBdr>
    </w:div>
    <w:div w:id="2005233034">
      <w:bodyDiv w:val="1"/>
      <w:marLeft w:val="0"/>
      <w:marRight w:val="0"/>
      <w:marTop w:val="0"/>
      <w:marBottom w:val="0"/>
      <w:divBdr>
        <w:top w:val="none" w:sz="0" w:space="0" w:color="auto"/>
        <w:left w:val="none" w:sz="0" w:space="0" w:color="auto"/>
        <w:bottom w:val="none" w:sz="0" w:space="0" w:color="auto"/>
        <w:right w:val="none" w:sz="0" w:space="0" w:color="auto"/>
      </w:divBdr>
    </w:div>
    <w:div w:id="2010477904">
      <w:bodyDiv w:val="1"/>
      <w:marLeft w:val="0"/>
      <w:marRight w:val="0"/>
      <w:marTop w:val="0"/>
      <w:marBottom w:val="0"/>
      <w:divBdr>
        <w:top w:val="none" w:sz="0" w:space="0" w:color="auto"/>
        <w:left w:val="none" w:sz="0" w:space="0" w:color="auto"/>
        <w:bottom w:val="none" w:sz="0" w:space="0" w:color="auto"/>
        <w:right w:val="none" w:sz="0" w:space="0" w:color="auto"/>
      </w:divBdr>
    </w:div>
    <w:div w:id="2010599512">
      <w:bodyDiv w:val="1"/>
      <w:marLeft w:val="0"/>
      <w:marRight w:val="0"/>
      <w:marTop w:val="0"/>
      <w:marBottom w:val="0"/>
      <w:divBdr>
        <w:top w:val="none" w:sz="0" w:space="0" w:color="auto"/>
        <w:left w:val="none" w:sz="0" w:space="0" w:color="auto"/>
        <w:bottom w:val="none" w:sz="0" w:space="0" w:color="auto"/>
        <w:right w:val="none" w:sz="0" w:space="0" w:color="auto"/>
      </w:divBdr>
    </w:div>
    <w:div w:id="2036810374">
      <w:bodyDiv w:val="1"/>
      <w:marLeft w:val="0"/>
      <w:marRight w:val="0"/>
      <w:marTop w:val="0"/>
      <w:marBottom w:val="0"/>
      <w:divBdr>
        <w:top w:val="none" w:sz="0" w:space="0" w:color="auto"/>
        <w:left w:val="none" w:sz="0" w:space="0" w:color="auto"/>
        <w:bottom w:val="none" w:sz="0" w:space="0" w:color="auto"/>
        <w:right w:val="none" w:sz="0" w:space="0" w:color="auto"/>
      </w:divBdr>
    </w:div>
    <w:div w:id="2039620158">
      <w:bodyDiv w:val="1"/>
      <w:marLeft w:val="0"/>
      <w:marRight w:val="0"/>
      <w:marTop w:val="0"/>
      <w:marBottom w:val="0"/>
      <w:divBdr>
        <w:top w:val="none" w:sz="0" w:space="0" w:color="auto"/>
        <w:left w:val="none" w:sz="0" w:space="0" w:color="auto"/>
        <w:bottom w:val="none" w:sz="0" w:space="0" w:color="auto"/>
        <w:right w:val="none" w:sz="0" w:space="0" w:color="auto"/>
      </w:divBdr>
    </w:div>
    <w:div w:id="2045253018">
      <w:bodyDiv w:val="1"/>
      <w:marLeft w:val="0"/>
      <w:marRight w:val="0"/>
      <w:marTop w:val="0"/>
      <w:marBottom w:val="0"/>
      <w:divBdr>
        <w:top w:val="none" w:sz="0" w:space="0" w:color="auto"/>
        <w:left w:val="none" w:sz="0" w:space="0" w:color="auto"/>
        <w:bottom w:val="none" w:sz="0" w:space="0" w:color="auto"/>
        <w:right w:val="none" w:sz="0" w:space="0" w:color="auto"/>
      </w:divBdr>
    </w:div>
    <w:div w:id="2050304158">
      <w:bodyDiv w:val="1"/>
      <w:marLeft w:val="0"/>
      <w:marRight w:val="0"/>
      <w:marTop w:val="0"/>
      <w:marBottom w:val="0"/>
      <w:divBdr>
        <w:top w:val="none" w:sz="0" w:space="0" w:color="auto"/>
        <w:left w:val="none" w:sz="0" w:space="0" w:color="auto"/>
        <w:bottom w:val="none" w:sz="0" w:space="0" w:color="auto"/>
        <w:right w:val="none" w:sz="0" w:space="0" w:color="auto"/>
      </w:divBdr>
    </w:div>
    <w:div w:id="2061131623">
      <w:marLeft w:val="0"/>
      <w:marRight w:val="0"/>
      <w:marTop w:val="0"/>
      <w:marBottom w:val="0"/>
      <w:divBdr>
        <w:top w:val="none" w:sz="0" w:space="0" w:color="auto"/>
        <w:left w:val="none" w:sz="0" w:space="0" w:color="auto"/>
        <w:bottom w:val="none" w:sz="0" w:space="0" w:color="auto"/>
        <w:right w:val="none" w:sz="0" w:space="0" w:color="auto"/>
      </w:divBdr>
    </w:div>
    <w:div w:id="2076661339">
      <w:marLeft w:val="0"/>
      <w:marRight w:val="0"/>
      <w:marTop w:val="0"/>
      <w:marBottom w:val="0"/>
      <w:divBdr>
        <w:top w:val="none" w:sz="0" w:space="0" w:color="auto"/>
        <w:left w:val="none" w:sz="0" w:space="0" w:color="auto"/>
        <w:bottom w:val="none" w:sz="0" w:space="0" w:color="auto"/>
        <w:right w:val="none" w:sz="0" w:space="0" w:color="auto"/>
      </w:divBdr>
    </w:div>
    <w:div w:id="2076928473">
      <w:bodyDiv w:val="1"/>
      <w:marLeft w:val="0"/>
      <w:marRight w:val="0"/>
      <w:marTop w:val="0"/>
      <w:marBottom w:val="0"/>
      <w:divBdr>
        <w:top w:val="none" w:sz="0" w:space="0" w:color="auto"/>
        <w:left w:val="none" w:sz="0" w:space="0" w:color="auto"/>
        <w:bottom w:val="none" w:sz="0" w:space="0" w:color="auto"/>
        <w:right w:val="none" w:sz="0" w:space="0" w:color="auto"/>
      </w:divBdr>
    </w:div>
    <w:div w:id="2083869955">
      <w:marLeft w:val="0"/>
      <w:marRight w:val="0"/>
      <w:marTop w:val="0"/>
      <w:marBottom w:val="0"/>
      <w:divBdr>
        <w:top w:val="none" w:sz="0" w:space="0" w:color="auto"/>
        <w:left w:val="none" w:sz="0" w:space="0" w:color="auto"/>
        <w:bottom w:val="none" w:sz="0" w:space="0" w:color="auto"/>
        <w:right w:val="none" w:sz="0" w:space="0" w:color="auto"/>
      </w:divBdr>
    </w:div>
    <w:div w:id="2094424674">
      <w:bodyDiv w:val="1"/>
      <w:marLeft w:val="0"/>
      <w:marRight w:val="0"/>
      <w:marTop w:val="0"/>
      <w:marBottom w:val="0"/>
      <w:divBdr>
        <w:top w:val="none" w:sz="0" w:space="0" w:color="auto"/>
        <w:left w:val="none" w:sz="0" w:space="0" w:color="auto"/>
        <w:bottom w:val="none" w:sz="0" w:space="0" w:color="auto"/>
        <w:right w:val="none" w:sz="0" w:space="0" w:color="auto"/>
      </w:divBdr>
    </w:div>
    <w:div w:id="2094667834">
      <w:bodyDiv w:val="1"/>
      <w:marLeft w:val="0"/>
      <w:marRight w:val="0"/>
      <w:marTop w:val="0"/>
      <w:marBottom w:val="0"/>
      <w:divBdr>
        <w:top w:val="none" w:sz="0" w:space="0" w:color="auto"/>
        <w:left w:val="none" w:sz="0" w:space="0" w:color="auto"/>
        <w:bottom w:val="none" w:sz="0" w:space="0" w:color="auto"/>
        <w:right w:val="none" w:sz="0" w:space="0" w:color="auto"/>
      </w:divBdr>
    </w:div>
    <w:div w:id="2100442597">
      <w:bodyDiv w:val="1"/>
      <w:marLeft w:val="0"/>
      <w:marRight w:val="0"/>
      <w:marTop w:val="0"/>
      <w:marBottom w:val="0"/>
      <w:divBdr>
        <w:top w:val="none" w:sz="0" w:space="0" w:color="auto"/>
        <w:left w:val="none" w:sz="0" w:space="0" w:color="auto"/>
        <w:bottom w:val="none" w:sz="0" w:space="0" w:color="auto"/>
        <w:right w:val="none" w:sz="0" w:space="0" w:color="auto"/>
      </w:divBdr>
    </w:div>
    <w:div w:id="2101674495">
      <w:bodyDiv w:val="1"/>
      <w:marLeft w:val="0"/>
      <w:marRight w:val="0"/>
      <w:marTop w:val="0"/>
      <w:marBottom w:val="0"/>
      <w:divBdr>
        <w:top w:val="none" w:sz="0" w:space="0" w:color="auto"/>
        <w:left w:val="none" w:sz="0" w:space="0" w:color="auto"/>
        <w:bottom w:val="none" w:sz="0" w:space="0" w:color="auto"/>
        <w:right w:val="none" w:sz="0" w:space="0" w:color="auto"/>
      </w:divBdr>
    </w:div>
    <w:div w:id="2102294392">
      <w:bodyDiv w:val="1"/>
      <w:marLeft w:val="0"/>
      <w:marRight w:val="0"/>
      <w:marTop w:val="0"/>
      <w:marBottom w:val="0"/>
      <w:divBdr>
        <w:top w:val="none" w:sz="0" w:space="0" w:color="auto"/>
        <w:left w:val="none" w:sz="0" w:space="0" w:color="auto"/>
        <w:bottom w:val="none" w:sz="0" w:space="0" w:color="auto"/>
        <w:right w:val="none" w:sz="0" w:space="0" w:color="auto"/>
      </w:divBdr>
    </w:div>
    <w:div w:id="2103187493">
      <w:bodyDiv w:val="1"/>
      <w:marLeft w:val="0"/>
      <w:marRight w:val="0"/>
      <w:marTop w:val="0"/>
      <w:marBottom w:val="0"/>
      <w:divBdr>
        <w:top w:val="none" w:sz="0" w:space="0" w:color="auto"/>
        <w:left w:val="none" w:sz="0" w:space="0" w:color="auto"/>
        <w:bottom w:val="none" w:sz="0" w:space="0" w:color="auto"/>
        <w:right w:val="none" w:sz="0" w:space="0" w:color="auto"/>
      </w:divBdr>
    </w:div>
    <w:div w:id="2119792570">
      <w:marLeft w:val="0"/>
      <w:marRight w:val="0"/>
      <w:marTop w:val="0"/>
      <w:marBottom w:val="0"/>
      <w:divBdr>
        <w:top w:val="none" w:sz="0" w:space="0" w:color="auto"/>
        <w:left w:val="none" w:sz="0" w:space="0" w:color="auto"/>
        <w:bottom w:val="none" w:sz="0" w:space="0" w:color="auto"/>
        <w:right w:val="none" w:sz="0" w:space="0" w:color="auto"/>
      </w:divBdr>
    </w:div>
    <w:div w:id="2125154766">
      <w:bodyDiv w:val="1"/>
      <w:marLeft w:val="0"/>
      <w:marRight w:val="0"/>
      <w:marTop w:val="0"/>
      <w:marBottom w:val="0"/>
      <w:divBdr>
        <w:top w:val="none" w:sz="0" w:space="0" w:color="auto"/>
        <w:left w:val="none" w:sz="0" w:space="0" w:color="auto"/>
        <w:bottom w:val="none" w:sz="0" w:space="0" w:color="auto"/>
        <w:right w:val="none" w:sz="0" w:space="0" w:color="auto"/>
      </w:divBdr>
    </w:div>
    <w:div w:id="21370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8095-F161-456F-9327-589A528B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5841</Words>
  <Characters>32129</Characters>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2024-06-03T09:21:00Z</dcterms:created>
  <dcterms:modified xsi:type="dcterms:W3CDTF">2024-06-25T10:22:00Z</dcterms:modified>
</cp:coreProperties>
</file>